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отношение законодателей к владельцам недвижимости не распространяется на самовольное занятие земель и на самовольные постройки.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федеральный закон №518 о выявлении правообладателей ранее учтенных объектов недвижимости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Никаких действий со стороны правообладателей таких объектов недвижимости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регистрацией своего права в МФЦ.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 регистрации права собственности.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собственности и используется в личных целях. Гаражи могут быть как отдельно стоящие, так и объединенные в «ленту».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 коллегии было принято решение обратиться к правительству Самарской области с предложением проработать вопрос бюджетного финансирования кадастровых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кадастровых работ в отношении гаражей и земельных участков под ними должна быть доступной и фиксированной.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 xml:space="preserve">На коллегии также обсудили вопрос возведения садовых и жилых домов, которые построены на земельных участках, предназначенных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по-прежнему не распространяются на тех, кто самовольно занял земельный участок или использует его не по целевому назначению.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B62D-19DF-45CB-A9F6-CB4E59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2021-07-02T12:40:00Z</cp:lastPrinted>
  <dcterms:created xsi:type="dcterms:W3CDTF">2021-07-06T04:14:00Z</dcterms:created>
  <dcterms:modified xsi:type="dcterms:W3CDTF">2021-07-06T04:14:00Z</dcterms:modified>
</cp:coreProperties>
</file>