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29.12</w:t>
      </w:r>
      <w:r>
        <w:rPr>
          <w:rFonts w:ascii="Times New Roman" w:hAnsi="Times New Roman" w:cs="Times New Roman"/>
          <w:b/>
          <w:sz w:val="28"/>
          <w:szCs w:val="28"/>
        </w:rPr>
        <w:t xml:space="preserve">.2025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line="360" w:lineRule="auto"/>
        <w:rPr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Самарские застройщики встретились с региональным Росреестром </w:t>
      </w:r>
      <w:r>
        <w:rPr>
          <w:highlight w:val="none"/>
        </w:rPr>
      </w:r>
      <w:r>
        <w:rPr>
          <w:highlight w:val="none"/>
        </w:rPr>
      </w:r>
    </w:p>
    <w:p>
      <w:pPr>
        <w:contextualSpacing w:val="0"/>
        <w:ind w:left="0" w:right="0" w:firstLine="567"/>
        <w:jc w:val="both"/>
        <w:spacing w:before="0" w:after="0" w:line="360" w:lineRule="auto"/>
        <w:rPr>
          <w:rFonts w:ascii="Times New Roman" w:hAnsi="Times New Roman" w:cs="Times New Roman"/>
          <w:b w:val="0"/>
          <w:bCs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6 917</w:t>
      </w:r>
      <w:r>
        <w:rPr>
          <w:rFonts w:ascii="Times New Roman" w:hAnsi="Times New Roman" w:cs="Times New Roman"/>
          <w:sz w:val="28"/>
          <w:szCs w:val="28"/>
        </w:rPr>
        <w:t xml:space="preserve"> договоров долевого участия в строительстве</w:t>
      </w:r>
      <w:r>
        <w:rPr>
          <w:rFonts w:ascii="Times New Roman" w:hAnsi="Times New Roman" w:cs="Times New Roman"/>
          <w:sz w:val="28"/>
          <w:szCs w:val="28"/>
        </w:rPr>
        <w:t xml:space="preserve"> было зарегистрировано</w:t>
      </w:r>
      <w:r>
        <w:rPr>
          <w:rFonts w:ascii="Times New Roman" w:hAnsi="Times New Roman" w:cs="Times New Roman"/>
          <w:sz w:val="28"/>
          <w:szCs w:val="28"/>
        </w:rPr>
        <w:t xml:space="preserve"> самарским Росреестром за 11 месяцев 2025г.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 этот же период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было введено в эксплуатацию и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поставлено на государственный кадастровый учет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55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многоквартирных домов  с расположенными в них </w:t>
      </w:r>
      <w:r>
        <w:rPr>
          <w:rFonts w:ascii="Times New Roman" w:hAnsi="Times New Roman" w:eastAsia="Times New Roman" w:cs="Times New Roman"/>
          <w:b/>
          <w:i w:val="0"/>
          <w:strike w:val="0"/>
          <w:color w:val="000000"/>
          <w:sz w:val="26"/>
          <w:u w:val="none"/>
          <w:vertAlign w:val="baseline"/>
        </w:rPr>
        <w:t xml:space="preserve">5821 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6"/>
          <w:u w:val="none"/>
        </w:rPr>
        <w:t xml:space="preserve">пом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ещениями.</w:t>
      </w:r>
      <w:r>
        <w:rPr>
          <w:rFonts w:ascii="Times New Roman" w:hAnsi="Times New Roman" w:cs="Times New Roman"/>
          <w:b w:val="0"/>
          <w:bCs w:val="0"/>
          <w:sz w:val="28"/>
          <w:szCs w:val="28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14:ligatures w14:val="none"/>
        </w:rPr>
      </w:r>
    </w:p>
    <w:p>
      <w:pPr>
        <w:contextualSpacing w:val="0"/>
        <w:ind w:left="0" w:right="0" w:firstLine="567"/>
        <w:jc w:val="both"/>
        <w:spacing w:before="0" w:after="0" w:line="360" w:lineRule="auto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Министерстве строительства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прошли публичные </w:t>
      </w:r>
      <w:r>
        <w:rPr>
          <w:rFonts w:ascii="Times New Roman" w:hAnsi="Times New Roman" w:cs="Times New Roman"/>
          <w:sz w:val="28"/>
          <w:szCs w:val="28"/>
        </w:rPr>
        <w:t xml:space="preserve">обсуждения </w:t>
      </w:r>
      <w:r>
        <w:rPr>
          <w:rFonts w:ascii="Times New Roman" w:hAnsi="Times New Roman" w:cs="Times New Roman"/>
          <w:sz w:val="28"/>
          <w:szCs w:val="28"/>
        </w:rPr>
        <w:t xml:space="preserve">правоприменительной </w:t>
      </w:r>
      <w:r>
        <w:rPr>
          <w:rFonts w:ascii="Times New Roman" w:hAnsi="Times New Roman" w:cs="Times New Roman"/>
          <w:sz w:val="28"/>
          <w:szCs w:val="28"/>
        </w:rPr>
        <w:t xml:space="preserve">практики регионального государственного контроля (надзора) в области </w:t>
      </w:r>
      <w:r>
        <w:rPr>
          <w:rFonts w:ascii="Times New Roman" w:hAnsi="Times New Roman" w:cs="Times New Roman"/>
          <w:sz w:val="28"/>
          <w:szCs w:val="28"/>
        </w:rPr>
        <w:t xml:space="preserve">долевого строительства многоквартирных жилых домов и (или) иных объектов </w:t>
      </w:r>
      <w:r>
        <w:rPr>
          <w:rFonts w:ascii="Times New Roman" w:hAnsi="Times New Roman" w:cs="Times New Roman"/>
          <w:sz w:val="28"/>
          <w:szCs w:val="28"/>
        </w:rPr>
        <w:t xml:space="preserve">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территории</w:t>
      </w:r>
      <w:r>
        <w:rPr>
          <w:rFonts w:ascii="Times New Roman" w:hAnsi="Times New Roman" w:cs="Times New Roman"/>
          <w:sz w:val="28"/>
          <w:szCs w:val="28"/>
        </w:rPr>
        <w:t xml:space="preserve"> Самарской </w:t>
      </w:r>
      <w:r>
        <w:rPr>
          <w:rFonts w:ascii="Times New Roman" w:hAnsi="Times New Roman" w:cs="Times New Roman"/>
          <w:sz w:val="28"/>
          <w:szCs w:val="28"/>
        </w:rPr>
        <w:t xml:space="preserve">области. Участниками мероприятия стали застройщики, осуществляющие свою деятельность на территории региона. 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contextualSpacing w:val="0"/>
        <w:ind w:left="0" w:right="0" w:firstLine="567"/>
        <w:jc w:val="both"/>
        <w:spacing w:before="0" w:after="0" w:line="360" w:lineRule="auto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Спикером от самарского Росреестра выступил начальник отдела регистрации долевого учас</w:t>
      </w:r>
      <w:r>
        <w:rPr>
          <w:rFonts w:ascii="Times New Roman" w:hAnsi="Times New Roman" w:cs="Times New Roman"/>
          <w:sz w:val="28"/>
          <w:szCs w:val="28"/>
        </w:rPr>
        <w:t xml:space="preserve">тия в строительстве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Сергей Лазарев</w:t>
      </w:r>
      <w:r>
        <w:rPr>
          <w:rFonts w:ascii="Times New Roman" w:hAnsi="Times New Roman" w:cs="Times New Roman"/>
          <w:sz w:val="28"/>
          <w:szCs w:val="28"/>
        </w:rPr>
        <w:t xml:space="preserve">, который в своем докладе напомнил об обязанности </w:t>
      </w:r>
      <w:r>
        <w:rPr>
          <w:rFonts w:ascii="Times New Roman" w:hAnsi="Times New Roman" w:cs="Times New Roman"/>
          <w:sz w:val="28"/>
          <w:szCs w:val="28"/>
        </w:rPr>
        <w:t xml:space="preserve">юридических лиц</w:t>
      </w:r>
      <w:r>
        <w:rPr>
          <w:rFonts w:ascii="Times New Roman" w:hAnsi="Times New Roman" w:cs="Times New Roman"/>
          <w:sz w:val="28"/>
          <w:szCs w:val="28"/>
        </w:rPr>
        <w:t xml:space="preserve"> подавать заявления на государственный кадастровый учёт и государственную регистрацию прав с прилагаемыми к ним документами </w:t>
      </w:r>
      <w:r>
        <w:rPr>
          <w:rFonts w:ascii="Times New Roman" w:hAnsi="Times New Roman" w:cs="Times New Roman"/>
          <w:sz w:val="28"/>
          <w:szCs w:val="28"/>
        </w:rPr>
        <w:t xml:space="preserve">только в электронной форме</w:t>
      </w:r>
      <w:r>
        <w:rPr>
          <w:rFonts w:ascii="Liberation Sans" w:hAnsi="Liberation Sans" w:eastAsia="Liberation Sans" w:cs="Liberation Sans"/>
          <w:color w:val="333333"/>
          <w:sz w:val="24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contextualSpacing w:val="0"/>
        <w:ind w:left="0" w:right="0" w:firstLine="567"/>
        <w:jc w:val="both"/>
        <w:spacing w:before="0" w:after="0" w:line="360" w:lineRule="auto"/>
        <w:rPr>
          <w:rFonts w:ascii="Times New Roman" w:hAnsi="Times New Roman" w:cs="Times New Roman"/>
          <w:bCs/>
          <w:i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«Необходимо отметить, что с начала 2025 года, несмотря на то, что норма вступила в силу 01.03.2025г.,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99%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договоров долевого участия представлено на регистрацию в электронном виде,</w:t>
      </w:r>
      <w:r>
        <w:rPr>
          <w:rFonts w:ascii="Times New Roman" w:hAnsi="Times New Roman" w:cs="Times New Roman"/>
          <w:sz w:val="28"/>
          <w:szCs w:val="28"/>
        </w:rPr>
        <w:t xml:space="preserve"> – рассказывает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Сергей Лазарев</w:t>
      </w:r>
      <w:r>
        <w:rPr>
          <w:rFonts w:ascii="Times New Roman" w:hAnsi="Times New Roman" w:cs="Times New Roman"/>
          <w:sz w:val="28"/>
          <w:szCs w:val="28"/>
        </w:rPr>
        <w:t xml:space="preserve">, –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  <w14:ligatures w14:val="none"/>
        </w:rPr>
        <w:t xml:space="preserve">Кроме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того,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напоминаем об обязанности застройщиков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 после подписания передаточного акта самостоятельно направлять в Росреестр заявления и документы для государственной регистрации права собственности участника долевого строительства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».</w:t>
      </w:r>
      <w:r>
        <w:rPr>
          <w:rFonts w:ascii="Times New Roman" w:hAnsi="Times New Roman" w:cs="Times New Roman"/>
          <w:bCs/>
          <w:i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none"/>
          <w14:ligatures w14:val="none"/>
        </w:rPr>
      </w:r>
    </w:p>
    <w:p>
      <w:pPr>
        <w:ind w:left="0" w:right="0" w:firstLine="0"/>
        <w:jc w:val="both"/>
        <w:spacing w:line="276" w:lineRule="auto"/>
        <w:shd w:val="clear" w:color="ffffff" w:fill="ffffff"/>
        <w:rPr>
          <w:rFonts w:ascii="Times New Roman" w:hAnsi="Times New Roman" w:eastAsia="Calibri" w:cs="Times New Roman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 w:cs="Times New Roman"/>
          <w:sz w:val="22"/>
          <w:szCs w:val="22"/>
          <w:highlight w:val="none"/>
        </w:rPr>
      </w:r>
      <w:r>
        <w:rPr>
          <w:rFonts w:ascii="Times New Roman" w:hAnsi="Times New Roman" w:eastAsia="Calibri" w:cs="Times New Roman"/>
          <w:sz w:val="22"/>
          <w:szCs w:val="22"/>
        </w:rPr>
      </w:r>
      <w:r>
        <w:rPr>
          <w:rFonts w:ascii="Times New Roman" w:hAnsi="Times New Roman" w:eastAsia="Calibri" w:cs="Times New Roman"/>
          <w:sz w:val="22"/>
          <w:szCs w:val="22"/>
        </w:rPr>
      </w:r>
    </w:p>
    <w:p>
      <w:pPr>
        <w:ind w:left="0" w:right="0" w:firstLine="0"/>
        <w:jc w:val="both"/>
        <w:spacing w:line="276" w:lineRule="auto"/>
        <w:shd w:val="clear" w:color="ffffff" w:fill="ffffff"/>
        <w:rPr>
          <w:rFonts w:ascii="Times New Roman" w:hAnsi="Times New Roman" w:eastAsia="Calibri" w:cs="Times New Roman"/>
          <w:sz w:val="22"/>
          <w:szCs w:val="22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 w:cs="Times New Roman"/>
          <w:sz w:val="22"/>
          <w:szCs w:val="22"/>
          <w:highlight w:val="none"/>
        </w:rPr>
      </w:r>
      <w:r>
        <w:rPr>
          <w:rFonts w:ascii="Times New Roman" w:hAnsi="Times New Roman" w:eastAsia="Calibri" w:cs="Times New Roman"/>
          <w:sz w:val="22"/>
          <w:szCs w:val="22"/>
          <w:highlight w:val="none"/>
        </w:rPr>
      </w:r>
      <w:r>
        <w:rPr>
          <w:rFonts w:ascii="Times New Roman" w:hAnsi="Times New Roman" w:eastAsia="Calibri" w:cs="Times New Roman"/>
          <w:sz w:val="22"/>
          <w:szCs w:val="22"/>
          <w:highlight w:val="none"/>
        </w:rPr>
      </w:r>
    </w:p>
    <w:p>
      <w:pPr>
        <w:ind w:left="0" w:right="0" w:firstLine="0"/>
        <w:jc w:val="both"/>
        <w:spacing w:line="276" w:lineRule="auto"/>
        <w:shd w:val="clear" w:color="ffffff" w:fill="ffffff"/>
        <w:rPr>
          <w:rFonts w:ascii="Times New Roman" w:hAnsi="Times New Roman" w:eastAsia="Calibri" w:cs="Times New Roman"/>
          <w:sz w:val="22"/>
          <w:szCs w:val="22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61583646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115050" cy="634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eastAsia="Calibri" w:cs="Times New Roman"/>
          <w:sz w:val="22"/>
          <w:szCs w:val="22"/>
        </w:rPr>
        <w:t xml:space="preserve">Материал подготовлен пресс-службой  </w:t>
      </w:r>
      <w:r>
        <w:rPr>
          <w:rFonts w:ascii="Times New Roman" w:hAnsi="Times New Roman" w:eastAsia="Calibri" w:cs="Times New Roman"/>
          <w:sz w:val="22"/>
          <w:szCs w:val="22"/>
        </w:rPr>
        <w:t xml:space="preserve">Управления</w:t>
      </w:r>
      <w:r>
        <w:rPr>
          <w:rFonts w:ascii="Times New Roman" w:hAnsi="Times New Roman" w:eastAsia="Calibri" w:cs="Times New Roman"/>
          <w:sz w:val="22"/>
          <w:szCs w:val="22"/>
        </w:rPr>
        <w:t xml:space="preserve"> Росреестра </w:t>
      </w:r>
      <w:r>
        <w:rPr>
          <w:rFonts w:ascii="Times New Roman" w:hAnsi="Times New Roman" w:eastAsia="Calibri" w:cs="Times New Roman"/>
          <w:sz w:val="22"/>
          <w:szCs w:val="22"/>
        </w:rPr>
        <w:t xml:space="preserve">по Самарской области</w:t>
      </w:r>
      <w:r>
        <w:rPr>
          <w:rFonts w:ascii="Times New Roman" w:hAnsi="Times New Roman" w:eastAsia="Calibri" w:cs="Times New Roman"/>
          <w:sz w:val="22"/>
          <w:szCs w:val="22"/>
          <w:highlight w:val="none"/>
        </w:rPr>
      </w:r>
      <w:r>
        <w:rPr>
          <w:rFonts w:ascii="Times New Roman" w:hAnsi="Times New Roman" w:eastAsia="Calibri" w:cs="Times New Roman"/>
          <w:sz w:val="22"/>
          <w:szCs w:val="22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8">
    <w:name w:val="Heading 1"/>
    <w:basedOn w:val="846"/>
    <w:next w:val="846"/>
    <w:link w:val="66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9">
    <w:name w:val="Heading 1 Char"/>
    <w:basedOn w:val="847"/>
    <w:link w:val="668"/>
    <w:uiPriority w:val="9"/>
    <w:rPr>
      <w:rFonts w:ascii="Arial" w:hAnsi="Arial" w:eastAsia="Arial" w:cs="Arial"/>
      <w:sz w:val="40"/>
      <w:szCs w:val="40"/>
    </w:rPr>
  </w:style>
  <w:style w:type="paragraph" w:styleId="670">
    <w:name w:val="Heading 2"/>
    <w:basedOn w:val="846"/>
    <w:next w:val="846"/>
    <w:link w:val="67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1">
    <w:name w:val="Heading 2 Char"/>
    <w:basedOn w:val="847"/>
    <w:link w:val="670"/>
    <w:uiPriority w:val="9"/>
    <w:rPr>
      <w:rFonts w:ascii="Arial" w:hAnsi="Arial" w:eastAsia="Arial" w:cs="Arial"/>
      <w:sz w:val="34"/>
    </w:rPr>
  </w:style>
  <w:style w:type="paragraph" w:styleId="672">
    <w:name w:val="Heading 3"/>
    <w:basedOn w:val="846"/>
    <w:next w:val="846"/>
    <w:link w:val="67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3">
    <w:name w:val="Heading 3 Char"/>
    <w:basedOn w:val="847"/>
    <w:link w:val="672"/>
    <w:uiPriority w:val="9"/>
    <w:rPr>
      <w:rFonts w:ascii="Arial" w:hAnsi="Arial" w:eastAsia="Arial" w:cs="Arial"/>
      <w:sz w:val="30"/>
      <w:szCs w:val="30"/>
    </w:rPr>
  </w:style>
  <w:style w:type="paragraph" w:styleId="674">
    <w:name w:val="Heading 4"/>
    <w:basedOn w:val="846"/>
    <w:next w:val="846"/>
    <w:link w:val="67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5">
    <w:name w:val="Heading 4 Char"/>
    <w:basedOn w:val="847"/>
    <w:link w:val="674"/>
    <w:uiPriority w:val="9"/>
    <w:rPr>
      <w:rFonts w:ascii="Arial" w:hAnsi="Arial" w:eastAsia="Arial" w:cs="Arial"/>
      <w:b/>
      <w:bCs/>
      <w:sz w:val="26"/>
      <w:szCs w:val="26"/>
    </w:rPr>
  </w:style>
  <w:style w:type="paragraph" w:styleId="676">
    <w:name w:val="Heading 5"/>
    <w:basedOn w:val="846"/>
    <w:next w:val="846"/>
    <w:link w:val="67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7">
    <w:name w:val="Heading 5 Char"/>
    <w:basedOn w:val="847"/>
    <w:link w:val="676"/>
    <w:uiPriority w:val="9"/>
    <w:rPr>
      <w:rFonts w:ascii="Arial" w:hAnsi="Arial" w:eastAsia="Arial" w:cs="Arial"/>
      <w:b/>
      <w:bCs/>
      <w:sz w:val="24"/>
      <w:szCs w:val="24"/>
    </w:rPr>
  </w:style>
  <w:style w:type="paragraph" w:styleId="678">
    <w:name w:val="Heading 6"/>
    <w:basedOn w:val="846"/>
    <w:next w:val="846"/>
    <w:link w:val="67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9">
    <w:name w:val="Heading 6 Char"/>
    <w:basedOn w:val="847"/>
    <w:link w:val="678"/>
    <w:uiPriority w:val="9"/>
    <w:rPr>
      <w:rFonts w:ascii="Arial" w:hAnsi="Arial" w:eastAsia="Arial" w:cs="Arial"/>
      <w:b/>
      <w:bCs/>
      <w:sz w:val="22"/>
      <w:szCs w:val="22"/>
    </w:rPr>
  </w:style>
  <w:style w:type="paragraph" w:styleId="680">
    <w:name w:val="Heading 7"/>
    <w:basedOn w:val="846"/>
    <w:next w:val="846"/>
    <w:link w:val="68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1">
    <w:name w:val="Heading 7 Char"/>
    <w:basedOn w:val="847"/>
    <w:link w:val="68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2">
    <w:name w:val="Heading 8"/>
    <w:basedOn w:val="846"/>
    <w:next w:val="846"/>
    <w:link w:val="68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3">
    <w:name w:val="Heading 8 Char"/>
    <w:basedOn w:val="847"/>
    <w:link w:val="682"/>
    <w:uiPriority w:val="9"/>
    <w:rPr>
      <w:rFonts w:ascii="Arial" w:hAnsi="Arial" w:eastAsia="Arial" w:cs="Arial"/>
      <w:i/>
      <w:iCs/>
      <w:sz w:val="22"/>
      <w:szCs w:val="22"/>
    </w:rPr>
  </w:style>
  <w:style w:type="paragraph" w:styleId="684">
    <w:name w:val="Heading 9"/>
    <w:basedOn w:val="846"/>
    <w:next w:val="846"/>
    <w:link w:val="68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5">
    <w:name w:val="Heading 9 Char"/>
    <w:basedOn w:val="847"/>
    <w:link w:val="684"/>
    <w:uiPriority w:val="9"/>
    <w:rPr>
      <w:rFonts w:ascii="Arial" w:hAnsi="Arial" w:eastAsia="Arial" w:cs="Arial"/>
      <w:i/>
      <w:iCs/>
      <w:sz w:val="21"/>
      <w:szCs w:val="21"/>
    </w:rPr>
  </w:style>
  <w:style w:type="paragraph" w:styleId="686">
    <w:name w:val="List Paragraph"/>
    <w:basedOn w:val="846"/>
    <w:uiPriority w:val="34"/>
    <w:qFormat/>
    <w:pPr>
      <w:contextualSpacing/>
      <w:ind w:left="720"/>
    </w:pPr>
  </w:style>
  <w:style w:type="paragraph" w:styleId="687">
    <w:name w:val="No Spacing"/>
    <w:uiPriority w:val="1"/>
    <w:qFormat/>
    <w:pPr>
      <w:spacing w:before="0" w:after="0" w:line="240" w:lineRule="auto"/>
    </w:pPr>
  </w:style>
  <w:style w:type="paragraph" w:styleId="688">
    <w:name w:val="Title"/>
    <w:basedOn w:val="846"/>
    <w:next w:val="846"/>
    <w:link w:val="68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9">
    <w:name w:val="Title Char"/>
    <w:basedOn w:val="847"/>
    <w:link w:val="688"/>
    <w:uiPriority w:val="10"/>
    <w:rPr>
      <w:sz w:val="48"/>
      <w:szCs w:val="48"/>
    </w:rPr>
  </w:style>
  <w:style w:type="paragraph" w:styleId="690">
    <w:name w:val="Subtitle"/>
    <w:basedOn w:val="846"/>
    <w:next w:val="846"/>
    <w:link w:val="691"/>
    <w:uiPriority w:val="11"/>
    <w:qFormat/>
    <w:pPr>
      <w:spacing w:before="200" w:after="200"/>
    </w:pPr>
    <w:rPr>
      <w:sz w:val="24"/>
      <w:szCs w:val="24"/>
    </w:rPr>
  </w:style>
  <w:style w:type="character" w:styleId="691">
    <w:name w:val="Subtitle Char"/>
    <w:basedOn w:val="847"/>
    <w:link w:val="690"/>
    <w:uiPriority w:val="11"/>
    <w:rPr>
      <w:sz w:val="24"/>
      <w:szCs w:val="24"/>
    </w:rPr>
  </w:style>
  <w:style w:type="paragraph" w:styleId="692">
    <w:name w:val="Quote"/>
    <w:basedOn w:val="846"/>
    <w:next w:val="846"/>
    <w:link w:val="693"/>
    <w:uiPriority w:val="29"/>
    <w:qFormat/>
    <w:pPr>
      <w:ind w:left="720" w:right="720"/>
    </w:pPr>
    <w:rPr>
      <w:i/>
    </w:rPr>
  </w:style>
  <w:style w:type="character" w:styleId="693">
    <w:name w:val="Quote Char"/>
    <w:link w:val="692"/>
    <w:uiPriority w:val="29"/>
    <w:rPr>
      <w:i/>
    </w:rPr>
  </w:style>
  <w:style w:type="paragraph" w:styleId="694">
    <w:name w:val="Intense Quote"/>
    <w:basedOn w:val="846"/>
    <w:next w:val="846"/>
    <w:link w:val="69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5">
    <w:name w:val="Intense Quote Char"/>
    <w:link w:val="694"/>
    <w:uiPriority w:val="30"/>
    <w:rPr>
      <w:i/>
    </w:rPr>
  </w:style>
  <w:style w:type="paragraph" w:styleId="696">
    <w:name w:val="Header"/>
    <w:basedOn w:val="846"/>
    <w:link w:val="69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7">
    <w:name w:val="Header Char"/>
    <w:basedOn w:val="847"/>
    <w:link w:val="696"/>
    <w:uiPriority w:val="99"/>
  </w:style>
  <w:style w:type="paragraph" w:styleId="698">
    <w:name w:val="Footer"/>
    <w:basedOn w:val="846"/>
    <w:link w:val="70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9">
    <w:name w:val="Footer Char"/>
    <w:basedOn w:val="847"/>
    <w:link w:val="698"/>
    <w:uiPriority w:val="99"/>
  </w:style>
  <w:style w:type="paragraph" w:styleId="700">
    <w:name w:val="Caption"/>
    <w:basedOn w:val="846"/>
    <w:next w:val="84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1">
    <w:name w:val="Caption Char"/>
    <w:basedOn w:val="700"/>
    <w:link w:val="698"/>
    <w:uiPriority w:val="99"/>
  </w:style>
  <w:style w:type="table" w:styleId="702">
    <w:name w:val="Table Grid"/>
    <w:basedOn w:val="84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3">
    <w:name w:val="Table Grid Light"/>
    <w:basedOn w:val="84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4">
    <w:name w:val="Plain Table 1"/>
    <w:basedOn w:val="84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5">
    <w:name w:val="Plain Table 2"/>
    <w:basedOn w:val="84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6">
    <w:name w:val="Plain Table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7">
    <w:name w:val="Plain Table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Plain Table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9">
    <w:name w:val="Grid Table 1 Light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4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1">
    <w:name w:val="Grid Table 4 - Accent 1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2">
    <w:name w:val="Grid Table 4 - Accent 2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3">
    <w:name w:val="Grid Table 4 - Accent 3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4">
    <w:name w:val="Grid Table 4 - Accent 4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5">
    <w:name w:val="Grid Table 4 - Accent 5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6">
    <w:name w:val="Grid Table 4 - Accent 6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7">
    <w:name w:val="Grid Table 5 Dark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8">
    <w:name w:val="Grid Table 5 Dark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9">
    <w:name w:val="Grid Table 5 Dark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1">
    <w:name w:val="Grid Table 5 Dark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4">
    <w:name w:val="Grid Table 6 Colorful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5">
    <w:name w:val="Grid Table 6 Colorful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6">
    <w:name w:val="Grid Table 6 Colorful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7">
    <w:name w:val="Grid Table 6 Colorful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8">
    <w:name w:val="Grid Table 6 Colorful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9">
    <w:name w:val="Grid Table 6 Colorful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0">
    <w:name w:val="Grid Table 6 Colorful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1">
    <w:name w:val="Grid Table 7 Colorful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6">
    <w:name w:val="List Table 2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7">
    <w:name w:val="List Table 2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8">
    <w:name w:val="List Table 2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9">
    <w:name w:val="List Table 2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0">
    <w:name w:val="List Table 2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1">
    <w:name w:val="List Table 2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2">
    <w:name w:val="List Table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5 Dark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6 Colorful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4">
    <w:name w:val="List Table 6 Colorful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5">
    <w:name w:val="List Table 6 Colorful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6">
    <w:name w:val="List Table 6 Colorful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7">
    <w:name w:val="List Table 6 Colorful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8">
    <w:name w:val="List Table 6 Colorful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9">
    <w:name w:val="List Table 6 Colorful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0">
    <w:name w:val="List Table 7 Colorful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1">
    <w:name w:val="List Table 7 Colorful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2">
    <w:name w:val="List Table 7 Colorful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3">
    <w:name w:val="List Table 7 Colorful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04">
    <w:name w:val="List Table 7 Colorful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5">
    <w:name w:val="List Table 7 Colorful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6">
    <w:name w:val="List Table 7 Colorful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7">
    <w:name w:val="Lined - Accent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8">
    <w:name w:val="Lined - Accent 1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9">
    <w:name w:val="Lined - Accent 2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0">
    <w:name w:val="Lined - Accent 3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1">
    <w:name w:val="Lined - Accent 4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2">
    <w:name w:val="Lined - Accent 5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3">
    <w:name w:val="Lined - Accent 6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4">
    <w:name w:val="Bordered &amp; Lined - Accent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Bordered &amp; Lined - Accent 1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Bordered &amp; Lined - Accent 2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Bordered &amp; Lined - Accent 3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Bordered &amp; Lined - Accent 4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Bordered &amp; Lined - Accent 5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Bordered &amp; Lined - Accent 6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2">
    <w:name w:val="Bordered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3">
    <w:name w:val="Bordered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4">
    <w:name w:val="Bordered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5">
    <w:name w:val="Bordered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6">
    <w:name w:val="Bordered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7">
    <w:name w:val="Bordered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8">
    <w:name w:val="Hyperlink"/>
    <w:uiPriority w:val="99"/>
    <w:unhideWhenUsed/>
    <w:rPr>
      <w:color w:val="0000ff" w:themeColor="hyperlink"/>
      <w:u w:val="single"/>
    </w:rPr>
  </w:style>
  <w:style w:type="paragraph" w:styleId="829">
    <w:name w:val="footnote text"/>
    <w:basedOn w:val="846"/>
    <w:link w:val="830"/>
    <w:uiPriority w:val="99"/>
    <w:semiHidden/>
    <w:unhideWhenUsed/>
    <w:pPr>
      <w:spacing w:after="40" w:line="240" w:lineRule="auto"/>
    </w:pPr>
    <w:rPr>
      <w:sz w:val="18"/>
    </w:rPr>
  </w:style>
  <w:style w:type="character" w:styleId="830">
    <w:name w:val="Footnote Text Char"/>
    <w:link w:val="829"/>
    <w:uiPriority w:val="99"/>
    <w:rPr>
      <w:sz w:val="18"/>
    </w:rPr>
  </w:style>
  <w:style w:type="character" w:styleId="831">
    <w:name w:val="footnote reference"/>
    <w:basedOn w:val="847"/>
    <w:uiPriority w:val="99"/>
    <w:unhideWhenUsed/>
    <w:rPr>
      <w:vertAlign w:val="superscript"/>
    </w:rPr>
  </w:style>
  <w:style w:type="paragraph" w:styleId="832">
    <w:name w:val="endnote text"/>
    <w:basedOn w:val="846"/>
    <w:link w:val="833"/>
    <w:uiPriority w:val="99"/>
    <w:semiHidden/>
    <w:unhideWhenUsed/>
    <w:pPr>
      <w:spacing w:after="0" w:line="240" w:lineRule="auto"/>
    </w:pPr>
    <w:rPr>
      <w:sz w:val="20"/>
    </w:rPr>
  </w:style>
  <w:style w:type="character" w:styleId="833">
    <w:name w:val="Endnote Text Char"/>
    <w:link w:val="832"/>
    <w:uiPriority w:val="99"/>
    <w:rPr>
      <w:sz w:val="20"/>
    </w:rPr>
  </w:style>
  <w:style w:type="character" w:styleId="834">
    <w:name w:val="endnote reference"/>
    <w:basedOn w:val="847"/>
    <w:uiPriority w:val="99"/>
    <w:semiHidden/>
    <w:unhideWhenUsed/>
    <w:rPr>
      <w:vertAlign w:val="superscript"/>
    </w:rPr>
  </w:style>
  <w:style w:type="paragraph" w:styleId="835">
    <w:name w:val="toc 1"/>
    <w:basedOn w:val="846"/>
    <w:next w:val="846"/>
    <w:uiPriority w:val="39"/>
    <w:unhideWhenUsed/>
    <w:pPr>
      <w:ind w:left="0" w:right="0" w:firstLine="0"/>
      <w:spacing w:after="57"/>
    </w:pPr>
  </w:style>
  <w:style w:type="paragraph" w:styleId="836">
    <w:name w:val="toc 2"/>
    <w:basedOn w:val="846"/>
    <w:next w:val="846"/>
    <w:uiPriority w:val="39"/>
    <w:unhideWhenUsed/>
    <w:pPr>
      <w:ind w:left="283" w:right="0" w:firstLine="0"/>
      <w:spacing w:after="57"/>
    </w:pPr>
  </w:style>
  <w:style w:type="paragraph" w:styleId="837">
    <w:name w:val="toc 3"/>
    <w:basedOn w:val="846"/>
    <w:next w:val="846"/>
    <w:uiPriority w:val="39"/>
    <w:unhideWhenUsed/>
    <w:pPr>
      <w:ind w:left="567" w:right="0" w:firstLine="0"/>
      <w:spacing w:after="57"/>
    </w:pPr>
  </w:style>
  <w:style w:type="paragraph" w:styleId="838">
    <w:name w:val="toc 4"/>
    <w:basedOn w:val="846"/>
    <w:next w:val="846"/>
    <w:uiPriority w:val="39"/>
    <w:unhideWhenUsed/>
    <w:pPr>
      <w:ind w:left="850" w:right="0" w:firstLine="0"/>
      <w:spacing w:after="57"/>
    </w:pPr>
  </w:style>
  <w:style w:type="paragraph" w:styleId="839">
    <w:name w:val="toc 5"/>
    <w:basedOn w:val="846"/>
    <w:next w:val="846"/>
    <w:uiPriority w:val="39"/>
    <w:unhideWhenUsed/>
    <w:pPr>
      <w:ind w:left="1134" w:right="0" w:firstLine="0"/>
      <w:spacing w:after="57"/>
    </w:pPr>
  </w:style>
  <w:style w:type="paragraph" w:styleId="840">
    <w:name w:val="toc 6"/>
    <w:basedOn w:val="846"/>
    <w:next w:val="846"/>
    <w:uiPriority w:val="39"/>
    <w:unhideWhenUsed/>
    <w:pPr>
      <w:ind w:left="1417" w:right="0" w:firstLine="0"/>
      <w:spacing w:after="57"/>
    </w:pPr>
  </w:style>
  <w:style w:type="paragraph" w:styleId="841">
    <w:name w:val="toc 7"/>
    <w:basedOn w:val="846"/>
    <w:next w:val="846"/>
    <w:uiPriority w:val="39"/>
    <w:unhideWhenUsed/>
    <w:pPr>
      <w:ind w:left="1701" w:right="0" w:firstLine="0"/>
      <w:spacing w:after="57"/>
    </w:pPr>
  </w:style>
  <w:style w:type="paragraph" w:styleId="842">
    <w:name w:val="toc 8"/>
    <w:basedOn w:val="846"/>
    <w:next w:val="846"/>
    <w:uiPriority w:val="39"/>
    <w:unhideWhenUsed/>
    <w:pPr>
      <w:ind w:left="1984" w:right="0" w:firstLine="0"/>
      <w:spacing w:after="57"/>
    </w:pPr>
  </w:style>
  <w:style w:type="paragraph" w:styleId="843">
    <w:name w:val="toc 9"/>
    <w:basedOn w:val="846"/>
    <w:next w:val="846"/>
    <w:uiPriority w:val="39"/>
    <w:unhideWhenUsed/>
    <w:pPr>
      <w:ind w:left="2268" w:right="0" w:firstLine="0"/>
      <w:spacing w:after="57"/>
    </w:pPr>
  </w:style>
  <w:style w:type="paragraph" w:styleId="844">
    <w:name w:val="TOC Heading"/>
    <w:uiPriority w:val="39"/>
    <w:unhideWhenUsed/>
  </w:style>
  <w:style w:type="paragraph" w:styleId="845">
    <w:name w:val="table of figures"/>
    <w:basedOn w:val="846"/>
    <w:next w:val="846"/>
    <w:uiPriority w:val="99"/>
    <w:unhideWhenUsed/>
    <w:pPr>
      <w:spacing w:after="0" w:afterAutospacing="0"/>
    </w:pPr>
  </w:style>
  <w:style w:type="paragraph" w:styleId="846" w:default="1">
    <w:name w:val="Normal"/>
    <w:qFormat/>
  </w:style>
  <w:style w:type="character" w:styleId="847" w:default="1">
    <w:name w:val="Default Paragraph Font"/>
    <w:uiPriority w:val="1"/>
    <w:semiHidden/>
    <w:unhideWhenUsed/>
  </w:style>
  <w:style w:type="table" w:styleId="84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9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revision>42</cp:revision>
  <dcterms:created xsi:type="dcterms:W3CDTF">2023-09-10T13:11:00Z</dcterms:created>
  <dcterms:modified xsi:type="dcterms:W3CDTF">2025-12-29T06:05:33Z</dcterms:modified>
</cp:coreProperties>
</file>