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240" w:before="240" w:line="450" w:lineRule="atLeast"/>
        <w:ind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02000000">
      <w:pPr>
        <w:pStyle w:val="Style_1"/>
        <w:widowControl w:val="1"/>
        <w:spacing w:after="0" w:before="0"/>
        <w:ind/>
        <w:jc w:val="center"/>
        <w:rPr>
          <w:b w:val="1"/>
          <w:color w:val="333333"/>
          <w:sz w:val="27"/>
          <w:highlight w:val="white"/>
        </w:rPr>
      </w:pPr>
      <w:r>
        <w:rPr>
          <w:b w:val="1"/>
          <w:color w:val="333333"/>
          <w:sz w:val="27"/>
          <w:highlight w:val="white"/>
        </w:rPr>
        <w:t>Способы защиты от мошенников</w:t>
      </w:r>
    </w:p>
    <w:p w14:paraId="03000000">
      <w:pPr>
        <w:pStyle w:val="Style_1"/>
        <w:widowControl w:val="1"/>
        <w:spacing w:after="0" w:before="0"/>
        <w:ind/>
        <w:jc w:val="center"/>
        <w:rPr>
          <w:color w:val="333333"/>
          <w:sz w:val="27"/>
        </w:rPr>
      </w:pPr>
      <w:r>
        <w:rPr>
          <w:color w:val="333333"/>
          <w:sz w:val="27"/>
        </w:rPr>
        <w:tab/>
      </w:r>
    </w:p>
    <w:p w14:paraId="04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Распространенные способы действий мошенников – получение обманным путем данных для доступа к личным кабинетам и приложениям, используя </w:t>
      </w:r>
      <w:r>
        <w:rPr>
          <w:color w:val="333333"/>
          <w:sz w:val="27"/>
        </w:rPr>
        <w:t>нейротехнологии</w:t>
      </w:r>
      <w:r>
        <w:rPr>
          <w:color w:val="333333"/>
          <w:sz w:val="27"/>
        </w:rPr>
        <w:t xml:space="preserve">, способные подделывать аккаунты и голоса, создавая </w:t>
      </w:r>
      <w:r>
        <w:rPr>
          <w:color w:val="333333"/>
          <w:sz w:val="27"/>
        </w:rPr>
        <w:t>видеосообщения</w:t>
      </w:r>
      <w:r>
        <w:rPr>
          <w:color w:val="333333"/>
          <w:sz w:val="27"/>
        </w:rPr>
        <w:t>, сгенерированные искусственным интеллектом, от имени ваших знакомых и руководителей. Зачастую мошенники представляются сотрудниками различных служб или предлагают финансовые выигрыши.</w:t>
      </w:r>
    </w:p>
    <w:p w14:paraId="05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 </w:t>
      </w:r>
    </w:p>
    <w:p w14:paraId="06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Вот несколько советов, которые помогут вам защититься от мошенников:</w:t>
      </w:r>
    </w:p>
    <w:p w14:paraId="07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</w:p>
    <w:p w14:paraId="08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1) Будьте бдительны: если разговор кажется подозрительным, завершите</w:t>
      </w:r>
      <w:r>
        <w:rPr>
          <w:color w:val="333333"/>
          <w:sz w:val="27"/>
        </w:rPr>
        <w:t xml:space="preserve">                   </w:t>
      </w:r>
      <w:r>
        <w:rPr>
          <w:color w:val="333333"/>
          <w:sz w:val="27"/>
        </w:rPr>
        <w:t xml:space="preserve"> его и перезвоните в организацию по официальным номерам;</w:t>
      </w:r>
    </w:p>
    <w:p w14:paraId="09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2) Проверяйте способ связи: мошенники часто используют мессенджеры, тогда как настоящие представители не звонят через </w:t>
      </w:r>
      <w:r>
        <w:rPr>
          <w:color w:val="333333"/>
          <w:sz w:val="27"/>
        </w:rPr>
        <w:t>WhatsApp</w:t>
      </w:r>
      <w:r>
        <w:rPr>
          <w:color w:val="333333"/>
          <w:sz w:val="27"/>
        </w:rPr>
        <w:t xml:space="preserve"> или </w:t>
      </w:r>
      <w:r>
        <w:rPr>
          <w:color w:val="333333"/>
          <w:sz w:val="27"/>
        </w:rPr>
        <w:t>Telegram</w:t>
      </w:r>
      <w:r>
        <w:rPr>
          <w:color w:val="333333"/>
          <w:sz w:val="27"/>
        </w:rPr>
        <w:t>;</w:t>
      </w:r>
    </w:p>
    <w:p w14:paraId="0A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3) Не сообщайте логины и пароли: читайте назначение смс-кодов</w:t>
      </w:r>
      <w:r>
        <w:rPr>
          <w:color w:val="333333"/>
          <w:sz w:val="27"/>
        </w:rPr>
        <w:t xml:space="preserve">                              </w:t>
      </w:r>
      <w:r>
        <w:rPr>
          <w:color w:val="333333"/>
          <w:sz w:val="27"/>
        </w:rPr>
        <w:t xml:space="preserve"> и не делитесь ответами на контрольные вопросы;</w:t>
      </w:r>
    </w:p>
    <w:p w14:paraId="0B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4) Следите за актуальностью номера: убедитесь, что номер, к которому привязан аккаунт, актуален;</w:t>
      </w:r>
    </w:p>
    <w:p w14:paraId="0C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5) Используйте сложные пароли: меняйте их регулярно и подключайте двухфакторную аутентификацию;</w:t>
      </w:r>
    </w:p>
    <w:p w14:paraId="0D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6) Проверяйте адрес страницы: убедитесь, что сайт – это официальный ресурс (например, gosuslugi.ru).</w:t>
      </w:r>
    </w:p>
    <w:p w14:paraId="0E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​​​​​​​</w:t>
      </w:r>
    </w:p>
    <w:p w14:paraId="0F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Госуслуги обеспечивают защиту, но злоумышленник может получить доступ при передаче вами необходимых данных. Будьте внимательны </w:t>
      </w:r>
      <w:r>
        <w:rPr>
          <w:color w:val="333333"/>
          <w:sz w:val="27"/>
        </w:rPr>
        <w:t xml:space="preserve">                                </w:t>
      </w:r>
      <w:r>
        <w:rPr>
          <w:color w:val="333333"/>
          <w:sz w:val="27"/>
        </w:rPr>
        <w:t>и защищайте свои данные.</w:t>
      </w:r>
    </w:p>
    <w:p w14:paraId="10000000">
      <w:pPr>
        <w:widowControl w:val="1"/>
        <w:ind w:firstLine="708"/>
      </w:pPr>
    </w:p>
    <w:p w14:paraId="11000000">
      <w:pPr>
        <w:widowControl w:val="1"/>
        <w:ind w:firstLine="708"/>
      </w:pPr>
    </w:p>
    <w:p w14:paraId="12000000">
      <w:pPr>
        <w:widowControl w:val="1"/>
        <w:ind w:firstLine="708"/>
      </w:pPr>
    </w:p>
    <w:p w14:paraId="13000000">
      <w:pPr>
        <w:widowControl w:val="1"/>
        <w:ind w:firstLine="708"/>
      </w:pPr>
    </w:p>
    <w:p w14:paraId="14000000">
      <w:pPr>
        <w:widowControl w:val="1"/>
        <w:ind w:firstLine="708"/>
      </w:pPr>
    </w:p>
    <w:p w14:paraId="15000000">
      <w:pPr>
        <w:widowControl w:val="1"/>
        <w:ind w:firstLine="708"/>
      </w:pPr>
    </w:p>
    <w:p w14:paraId="16000000">
      <w:pPr>
        <w:widowControl w:val="1"/>
        <w:ind w:firstLine="708"/>
      </w:pPr>
    </w:p>
    <w:p w14:paraId="17000000">
      <w:pPr>
        <w:widowControl w:val="1"/>
        <w:ind w:firstLine="708"/>
      </w:pPr>
    </w:p>
    <w:p w14:paraId="18000000">
      <w:pPr>
        <w:widowControl w:val="1"/>
        <w:ind w:firstLine="708"/>
      </w:pPr>
    </w:p>
    <w:p w14:paraId="19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1A000000">
      <w:pPr>
        <w:widowControl w:val="1"/>
        <w:spacing w:after="0" w:line="240" w:lineRule="auto"/>
        <w:ind w:firstLine="708"/>
        <w:jc w:val="center"/>
        <w:rPr>
          <w:rFonts w:ascii="Times New Roman" w:hAnsi="Times New Roman"/>
          <w:b w:val="1"/>
          <w:color w:val="333333"/>
          <w:sz w:val="27"/>
        </w:rPr>
      </w:pPr>
      <w:r>
        <w:rPr>
          <w:rFonts w:ascii="Times New Roman" w:hAnsi="Times New Roman"/>
          <w:b w:val="1"/>
          <w:color w:val="333333"/>
          <w:sz w:val="27"/>
        </w:rPr>
        <w:t>Самозапрет</w:t>
      </w:r>
      <w:r>
        <w:rPr>
          <w:rFonts w:ascii="Times New Roman" w:hAnsi="Times New Roman"/>
          <w:b w:val="1"/>
          <w:color w:val="333333"/>
          <w:sz w:val="27"/>
        </w:rPr>
        <w:t xml:space="preserve"> на заключение договоров потребительского займа (кредита)</w:t>
      </w:r>
    </w:p>
    <w:p w14:paraId="1B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</w:p>
    <w:p w14:paraId="1C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1 марта 2025 года вступили в силу нормы, позволяющие установить </w:t>
      </w:r>
      <w:r>
        <w:rPr>
          <w:color w:val="333333"/>
          <w:sz w:val="27"/>
        </w:rPr>
        <w:t>самозапрет</w:t>
      </w:r>
      <w:r>
        <w:rPr>
          <w:color w:val="333333"/>
          <w:sz w:val="27"/>
        </w:rPr>
        <w:t xml:space="preserve"> на заключение договоров потребительского займа (кредита).</w:t>
      </w:r>
    </w:p>
    <w:p w14:paraId="1D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Эта мера позволит защититься от мошеннических действий </w:t>
      </w:r>
      <w:r>
        <w:rPr>
          <w:color w:val="333333"/>
          <w:sz w:val="27"/>
        </w:rPr>
        <w:t xml:space="preserve">                                          </w:t>
      </w:r>
      <w:r>
        <w:rPr>
          <w:color w:val="333333"/>
          <w:sz w:val="27"/>
        </w:rPr>
        <w:t>по оформлению потребительских займов (кредитов) третьими лицами, например, путем незаконного использования персональных данных.</w:t>
      </w:r>
    </w:p>
    <w:p w14:paraId="1E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Запрет может быть установлен:</w:t>
      </w:r>
    </w:p>
    <w:p w14:paraId="1F000000">
      <w:pPr>
        <w:pStyle w:val="Style_1"/>
        <w:widowControl w:val="1"/>
        <w:numPr>
          <w:ilvl w:val="0"/>
          <w:numId w:val="1"/>
        </w:numPr>
        <w:spacing w:after="0" w:before="0"/>
        <w:ind w:firstLine="0" w:left="0"/>
        <w:jc w:val="both"/>
        <w:rPr>
          <w:color w:val="333333"/>
          <w:sz w:val="27"/>
        </w:rPr>
      </w:pPr>
      <w:r>
        <w:rPr>
          <w:color w:val="333333"/>
          <w:sz w:val="27"/>
        </w:rPr>
        <w:t>на заключение указанных договоров:</w:t>
      </w:r>
    </w:p>
    <w:p w14:paraId="20000000">
      <w:pPr>
        <w:pStyle w:val="Style_1"/>
        <w:widowControl w:val="1"/>
        <w:spacing w:after="0" w:before="0"/>
        <w:ind/>
        <w:jc w:val="both"/>
        <w:rPr>
          <w:color w:val="333333"/>
          <w:sz w:val="27"/>
        </w:rPr>
      </w:pPr>
      <w:r>
        <w:rPr>
          <w:color w:val="333333"/>
          <w:sz w:val="27"/>
        </w:rPr>
        <w:t>- с кредитной организацией;</w:t>
      </w:r>
      <w:r>
        <w:rPr>
          <w:color w:val="333333"/>
          <w:sz w:val="27"/>
        </w:rPr>
        <w:t>- с микрофинансовой организацией (МФО);</w:t>
      </w:r>
    </w:p>
    <w:p w14:paraId="21000000">
      <w:pPr>
        <w:pStyle w:val="Style_1"/>
        <w:widowControl w:val="1"/>
        <w:spacing w:after="0" w:before="0"/>
        <w:ind/>
        <w:jc w:val="both"/>
        <w:rPr>
          <w:color w:val="333333"/>
          <w:sz w:val="27"/>
        </w:rPr>
      </w:pPr>
      <w:r>
        <w:rPr>
          <w:color w:val="333333"/>
          <w:sz w:val="27"/>
        </w:rPr>
        <w:t>- как с кредитной организацией, так и с микрофинансовой организацией.</w:t>
      </w:r>
    </w:p>
    <w:p w14:paraId="22000000">
      <w:pPr>
        <w:pStyle w:val="Style_1"/>
        <w:widowControl w:val="1"/>
        <w:spacing w:after="0" w:before="0"/>
        <w:ind/>
        <w:jc w:val="both"/>
        <w:rPr>
          <w:color w:val="333333"/>
          <w:sz w:val="27"/>
        </w:rPr>
      </w:pPr>
      <w:r>
        <w:rPr>
          <w:color w:val="333333"/>
          <w:sz w:val="27"/>
        </w:rPr>
        <w:t>2) на заключение указанных договоров только дистанционным способом.</w:t>
      </w:r>
    </w:p>
    <w:p w14:paraId="23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Необходимо учитывать, что запрет нельзя распространить на заключение договоров потребительского займа (кредита), обеспеченных ипотекой </w:t>
      </w:r>
      <w:r>
        <w:rPr>
          <w:color w:val="333333"/>
          <w:sz w:val="27"/>
        </w:rPr>
        <w:t xml:space="preserve">                                     </w:t>
      </w:r>
      <w:r>
        <w:rPr>
          <w:color w:val="333333"/>
          <w:sz w:val="27"/>
        </w:rPr>
        <w:t>и (или) залогом транспортного средства, договоров основного образовательного кредита с господдержкой.</w:t>
      </w:r>
    </w:p>
    <w:p w14:paraId="24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Чтобы установить и снять </w:t>
      </w:r>
      <w:r>
        <w:rPr>
          <w:color w:val="333333"/>
          <w:sz w:val="27"/>
        </w:rPr>
        <w:t>самозапрет</w:t>
      </w:r>
      <w:r>
        <w:rPr>
          <w:color w:val="333333"/>
          <w:sz w:val="27"/>
        </w:rPr>
        <w:t xml:space="preserve"> нужно подать в квалифицированные бюро кредитных историй соответствующее заявление:</w:t>
      </w:r>
    </w:p>
    <w:p w14:paraId="25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-через Единый портал госуслуг; </w:t>
      </w:r>
    </w:p>
    <w:p w14:paraId="26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- через Многофункциональный центр (МФЦ).</w:t>
      </w:r>
    </w:p>
    <w:p w14:paraId="27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Эта услуга предоставляется бесплатно, заявления можно подавать неограниченное количество раз.</w:t>
      </w:r>
    </w:p>
    <w:p w14:paraId="28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При подаче заявления о запрете (о снятии запрета) через МФЦ квалифицированное бюро кредитных историй уведомит гражданина и МФЦ </w:t>
      </w:r>
      <w:r>
        <w:rPr>
          <w:color w:val="333333"/>
          <w:sz w:val="27"/>
        </w:rPr>
        <w:t xml:space="preserve">                     </w:t>
      </w:r>
      <w:r>
        <w:rPr>
          <w:color w:val="333333"/>
          <w:sz w:val="27"/>
        </w:rPr>
        <w:t xml:space="preserve">о включении соответствующих сведений в состав кредитной истории. Уведомление, содержащее такие сведения, направляется в день включения сведений в состав кредитной истории и размещается в личном кабинете </w:t>
      </w:r>
      <w:r>
        <w:rPr>
          <w:color w:val="333333"/>
          <w:sz w:val="27"/>
        </w:rPr>
        <w:t xml:space="preserve">                            </w:t>
      </w:r>
      <w:r>
        <w:rPr>
          <w:color w:val="333333"/>
          <w:sz w:val="27"/>
        </w:rPr>
        <w:t>на Едином портале госуслуг. Выдача указанных уведомлений осуществляется МФЦ при личном обращении по истечении трех рабочих дней со дня получения МФЦ заявления.</w:t>
      </w:r>
    </w:p>
    <w:p w14:paraId="29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При подаче заявления через Единый портал госуслуг уведомление</w:t>
      </w:r>
      <w:r>
        <w:rPr>
          <w:color w:val="333333"/>
          <w:sz w:val="27"/>
        </w:rPr>
        <w:t xml:space="preserve">                                </w:t>
      </w:r>
      <w:r>
        <w:rPr>
          <w:color w:val="333333"/>
          <w:sz w:val="27"/>
        </w:rPr>
        <w:t xml:space="preserve"> о включении в состав кредитной истории сведений о запрете (о снятии запрета) размещается в личном кабинете на Едином портале.</w:t>
      </w:r>
    </w:p>
    <w:p w14:paraId="2A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Дата начала действия запрета - календарный день, следующий за днем включения в состав кредитной истории сведений о запрете, дата начала действия снятия запрета - второй календарный день, следующий за днем включения</w:t>
      </w:r>
      <w:r>
        <w:rPr>
          <w:color w:val="333333"/>
          <w:sz w:val="27"/>
        </w:rPr>
        <w:t xml:space="preserve">                            </w:t>
      </w:r>
      <w:r>
        <w:rPr>
          <w:color w:val="333333"/>
          <w:sz w:val="27"/>
        </w:rPr>
        <w:t xml:space="preserve"> в состав кредитной истории сведений о снятии запрета.</w:t>
      </w:r>
    </w:p>
    <w:p w14:paraId="2B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Кредитные организации и МФО до заключения договора потребительского займа (кредита) должны запросить во всех бюро кредитных </w:t>
      </w:r>
      <w:r>
        <w:rPr>
          <w:color w:val="333333"/>
          <w:sz w:val="27"/>
        </w:rPr>
        <w:t>историй,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>есть ли в кредитной истории сведения о запрете (снятии запрета).</w:t>
      </w:r>
    </w:p>
    <w:p w14:paraId="2C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Если в кредитной истории есть сведения о действующем на день запроса запрете, гражданину должны отказать в заключении договора.</w:t>
      </w:r>
    </w:p>
    <w:p w14:paraId="2D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От гражданина не смогут требовать исполнения обязательств по договору потребительского кредита (займа), если кредитная организация, МФО:</w:t>
      </w:r>
    </w:p>
    <w:p w14:paraId="2E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- до заключения договора не запросили информацию о наличии</w:t>
      </w:r>
      <w:r>
        <w:rPr>
          <w:color w:val="333333"/>
          <w:sz w:val="27"/>
        </w:rPr>
        <w:t xml:space="preserve">                           </w:t>
      </w:r>
      <w:r>
        <w:rPr>
          <w:color w:val="333333"/>
          <w:sz w:val="27"/>
        </w:rPr>
        <w:t xml:space="preserve"> в кредитной истории сведений о запрете (снятии запрета) и в кредитной истории на день заключения договора были сведения о действующем запрете, который распространяется на заключенный договор;</w:t>
      </w:r>
    </w:p>
    <w:p w14:paraId="2F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- не отказали в заключении договора при наличии сведений о действующем запрете в кредитной истории на день запроса об этом, если на такой договор распространяется запрет.</w:t>
      </w:r>
    </w:p>
    <w:p w14:paraId="30000000"/>
    <w:p w14:paraId="31000000"/>
    <w:p w14:paraId="32000000"/>
    <w:p w14:paraId="33000000"/>
    <w:p w14:paraId="34000000"/>
    <w:p w14:paraId="35000000"/>
    <w:p w14:paraId="36000000"/>
    <w:p w14:paraId="37000000"/>
    <w:p w14:paraId="38000000"/>
    <w:p w14:paraId="39000000"/>
    <w:p w14:paraId="3A000000"/>
    <w:p w14:paraId="3B000000"/>
    <w:p w14:paraId="3C000000"/>
    <w:p w14:paraId="3D000000"/>
    <w:p w14:paraId="3E000000"/>
    <w:p w14:paraId="3F000000"/>
    <w:p w14:paraId="40000000"/>
    <w:p w14:paraId="41000000"/>
    <w:p w14:paraId="42000000"/>
    <w:p w14:paraId="43000000"/>
    <w:p w14:paraId="44000000"/>
    <w:p w14:paraId="45000000"/>
    <w:p w14:paraId="46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47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С 1 января 2025 года расширен перечень граждан, которым положена пенсия по потере кормильца</w:t>
      </w:r>
    </w:p>
    <w:p w14:paraId="48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</w:rPr>
        <w:t>Согласно п.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>3 ст.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>8 Федерального закона от 15.12.2001 №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 xml:space="preserve">166-ФЗ </w:t>
      </w:r>
      <w:r>
        <w:rPr>
          <w:color w:val="000000"/>
          <w:sz w:val="27"/>
        </w:rPr>
        <w:t xml:space="preserve">                               </w:t>
      </w:r>
      <w:r>
        <w:rPr>
          <w:color w:val="000000"/>
          <w:sz w:val="27"/>
        </w:rPr>
        <w:t xml:space="preserve">«О государственном пенсионном обеспечении в Российской Федерации» в случае гибели (смерти) военнослужащих в период прохождения военной службы </w:t>
      </w:r>
      <w:r>
        <w:rPr>
          <w:color w:val="000000"/>
          <w:sz w:val="27"/>
        </w:rPr>
        <w:t xml:space="preserve">                          </w:t>
      </w:r>
      <w:r>
        <w:rPr>
          <w:color w:val="000000"/>
          <w:sz w:val="27"/>
        </w:rPr>
        <w:t xml:space="preserve">по призыву в качестве солдат, матросов, сержантов и старшин или не позднее 3 месяцев после увольнения с военной службы либо в случае наступления смерти позднее этого срока, но вследствие ранения, контузии, увечья или заболевания, которые получены в период прохождения военной службы, гибели (смерти)вследствие увечья (ранения, травмы, контузии) или заболевания граждан, пребывавших в добровольческих формированиях, либо наступления смерти после окончания пребывания в добровольческих формированиях вследствие увечья(ранения, травмы, контузии) или заболевания, полученных </w:t>
      </w:r>
      <w:r>
        <w:rPr>
          <w:color w:val="000000"/>
          <w:sz w:val="27"/>
        </w:rPr>
        <w:t xml:space="preserve">                    </w:t>
      </w:r>
      <w:r>
        <w:rPr>
          <w:color w:val="000000"/>
          <w:sz w:val="27"/>
        </w:rPr>
        <w:t>в период пребывания в добровольческих формированиях, нетрудоспособным членам их семей назначается пенсия по случаю потери кормильца.</w:t>
      </w:r>
    </w:p>
    <w:p w14:paraId="49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</w:rPr>
        <w:t>С 1 января 2025 года к нетрудоспособным членам семьи отнесены также супруги военнослужащих, проходивших военную службу по призыву, погибших (умерших)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 xml:space="preserve">вследствие военной травмы, граждан, пребывавших </w:t>
      </w:r>
      <w:r>
        <w:rPr>
          <w:color w:val="000000"/>
          <w:sz w:val="27"/>
        </w:rPr>
        <w:t xml:space="preserve">                                                   </w:t>
      </w:r>
      <w:r>
        <w:rPr>
          <w:color w:val="000000"/>
          <w:sz w:val="27"/>
        </w:rPr>
        <w:t>в добровольческих формированиях, погибших (умерших) вследствие увечья (ранения, травмы,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>контузии) или заболевания, полученных в связи с исполнением обязанностей по контракту о пребывании в добровольческом формировании,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 xml:space="preserve">не вступившие в повторный брак, занятые уходом за детьми погибшего (умершего) кормильца, </w:t>
      </w:r>
      <w:r>
        <w:rPr>
          <w:color w:val="000000"/>
          <w:sz w:val="27"/>
        </w:rPr>
        <w:t>недостригшими</w:t>
      </w:r>
      <w:r>
        <w:rPr>
          <w:color w:val="000000"/>
          <w:sz w:val="27"/>
        </w:rPr>
        <w:t xml:space="preserve"> возраста 23 лет и имеющими право </w:t>
      </w:r>
      <w:r>
        <w:rPr>
          <w:color w:val="000000"/>
          <w:sz w:val="27"/>
        </w:rPr>
        <w:t>на пенсию по потере кормильца, независимо от возраста, трудоспособности, выполнения работы и (или) иной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>деятельности, в период которой они подлежат обязательному пенсионному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>страхованию в соответствии с Федеральным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>от 15.12.2001 №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 xml:space="preserve">167-ФЗ «Об обязательном пенсионном страховании </w:t>
      </w:r>
      <w:r>
        <w:rPr>
          <w:color w:val="000000"/>
          <w:sz w:val="27"/>
        </w:rPr>
        <w:t>Российской Федерации», прохождения военной службы, службы в органах внутренних дел, Государственной противопожарной службе, учреждениях</w:t>
      </w:r>
      <w:r>
        <w:rPr>
          <w:color w:val="000000"/>
          <w:sz w:val="27"/>
        </w:rPr>
        <w:t xml:space="preserve"> </w:t>
      </w:r>
      <w:r>
        <w:rPr>
          <w:color w:val="000000"/>
          <w:sz w:val="27"/>
        </w:rPr>
        <w:t>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Федерации.</w:t>
      </w:r>
    </w:p>
    <w:p w14:paraId="4A000000">
      <w:pPr>
        <w:pStyle w:val="Style_1"/>
        <w:widowControl w:val="1"/>
        <w:spacing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</w:rPr>
        <w:t xml:space="preserve">Аналогичные изменения внесены также в Федеральный закон </w:t>
      </w:r>
      <w:r>
        <w:rPr>
          <w:color w:val="000000"/>
          <w:sz w:val="27"/>
        </w:rPr>
        <w:t xml:space="preserve">                                         </w:t>
      </w:r>
      <w:r>
        <w:rPr>
          <w:color w:val="000000"/>
          <w:sz w:val="27"/>
        </w:rPr>
        <w:t>от 28.12.2013№400-ФЗ «О страховых пенсиях».</w:t>
      </w:r>
    </w:p>
    <w:p w14:paraId="4B000000"/>
    <w:p w14:paraId="4C000000"/>
    <w:p w14:paraId="4D000000"/>
    <w:p w14:paraId="4E000000"/>
    <w:p w14:paraId="4F000000"/>
    <w:p w14:paraId="50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5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</w:rPr>
      </w:pPr>
      <w:r>
        <w:rPr>
          <w:rFonts w:ascii="Times New Roman" w:hAnsi="Times New Roman"/>
          <w:b w:val="1"/>
          <w:color w:val="333333"/>
          <w:sz w:val="27"/>
        </w:rPr>
        <w:t>Ответственность за пропаганду нацистской атрибутики и символики</w:t>
      </w:r>
    </w:p>
    <w:p w14:paraId="52000000">
      <w:pPr>
        <w:widowControl w:val="1"/>
        <w:spacing w:after="0" w:line="240" w:lineRule="auto"/>
        <w:ind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 </w:t>
      </w:r>
    </w:p>
    <w:p w14:paraId="5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Статьей 20.3 Кодекса Российской Федерации об административных правонарушениях установлена административная ответственность за пропаганду либо публичное демонстрирование нацистской атрибутики или </w:t>
      </w:r>
      <w:r>
        <w:rPr>
          <w:rFonts w:ascii="Times New Roman" w:hAnsi="Times New Roman"/>
          <w:color w:val="000000"/>
          <w:sz w:val="27"/>
        </w:rPr>
        <w:t xml:space="preserve">символики, </w:t>
      </w:r>
      <w:r>
        <w:rPr>
          <w:rFonts w:ascii="Times New Roman" w:hAnsi="Times New Roman"/>
          <w:color w:val="000000"/>
          <w:sz w:val="27"/>
        </w:rPr>
        <w:t>либо атрибутики или символики экстремистских организаций.</w:t>
      </w:r>
    </w:p>
    <w:p w14:paraId="5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Пропаганда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</w:t>
      </w:r>
      <w:r>
        <w:rPr>
          <w:rFonts w:ascii="Times New Roman" w:hAnsi="Times New Roman"/>
          <w:color w:val="000000"/>
          <w:sz w:val="27"/>
        </w:rPr>
        <w:t xml:space="preserve">                               </w:t>
      </w:r>
      <w:r>
        <w:rPr>
          <w:rFonts w:ascii="Times New Roman" w:hAnsi="Times New Roman"/>
          <w:color w:val="000000"/>
          <w:sz w:val="27"/>
        </w:rPr>
        <w:t xml:space="preserve"> или символики экстремистских организаций, либо иных атрибутики</w:t>
      </w:r>
      <w:r>
        <w:rPr>
          <w:rFonts w:ascii="Times New Roman" w:hAnsi="Times New Roman"/>
          <w:color w:val="000000"/>
          <w:sz w:val="27"/>
        </w:rPr>
        <w:t xml:space="preserve">                                 </w:t>
      </w:r>
      <w:r>
        <w:rPr>
          <w:rFonts w:ascii="Times New Roman" w:hAnsi="Times New Roman"/>
          <w:color w:val="000000"/>
          <w:sz w:val="27"/>
        </w:rPr>
        <w:t xml:space="preserve"> или символики, пропаганда либо публичное демонстрирование которых запрещены федеральными законами, влечет наложение административного штрафа 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color w:val="000000"/>
          <w:sz w:val="27"/>
        </w:rPr>
        <w:t>на граждан в размере от 1 тысячи до 2 тысяч руб. с конфискацией предмета административного правонарушения либо административный арест</w:t>
      </w:r>
      <w:r>
        <w:rPr>
          <w:rFonts w:ascii="Times New Roman" w:hAnsi="Times New Roman"/>
          <w:color w:val="000000"/>
          <w:sz w:val="27"/>
        </w:rPr>
        <w:t xml:space="preserve">               </w:t>
      </w:r>
      <w:r>
        <w:rPr>
          <w:rFonts w:ascii="Times New Roman" w:hAnsi="Times New Roman"/>
          <w:color w:val="000000"/>
          <w:sz w:val="27"/>
        </w:rPr>
        <w:t xml:space="preserve"> на срок до 15 суток с конфискацией предмета административного правонарушения; на должностных лиц – от 1 до 4 тысяч руб. с конфискацией предмета административного правонарушения; на юридических лиц – от 10 до 15 тысяч руб. с конфискацией предмета административного правонарушения.</w:t>
      </w:r>
    </w:p>
    <w:p w14:paraId="5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За изготовление или сбыт в целях пропаганды либо приобретение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</w:t>
      </w:r>
      <w:r>
        <w:rPr>
          <w:rFonts w:ascii="Times New Roman" w:hAnsi="Times New Roman"/>
          <w:color w:val="000000"/>
          <w:sz w:val="27"/>
        </w:rPr>
        <w:t xml:space="preserve">                       </w:t>
      </w:r>
      <w:r>
        <w:rPr>
          <w:rFonts w:ascii="Times New Roman" w:hAnsi="Times New Roman"/>
          <w:color w:val="000000"/>
          <w:sz w:val="27"/>
        </w:rPr>
        <w:t xml:space="preserve"> либо иных атрибутики или символики, пропаганда либо публичное демонстрирование которых запрещены федеральными законами, предусмотрена административная ответственность в виде штрафа на граждан в размере </w:t>
      </w:r>
      <w:r>
        <w:rPr>
          <w:rFonts w:ascii="Times New Roman" w:hAnsi="Times New Roman"/>
          <w:color w:val="000000"/>
          <w:sz w:val="27"/>
        </w:rPr>
        <w:t xml:space="preserve">                           </w:t>
      </w:r>
      <w:r>
        <w:rPr>
          <w:rFonts w:ascii="Times New Roman" w:hAnsi="Times New Roman"/>
          <w:color w:val="000000"/>
          <w:sz w:val="27"/>
        </w:rPr>
        <w:t>от 1 до 2,5 руб. с конфискацией предмета административного правонарушения; на должностных лиц – от 2 до 5 тысяч руб. с конфискацией предмета административного правонарушения; на юридических лиц – от 20 до 100 тысяч руб. с конфискацией предмета административного правонарушения.</w:t>
      </w:r>
    </w:p>
    <w:p w14:paraId="56000000"/>
    <w:p w14:paraId="57000000"/>
    <w:p w14:paraId="58000000"/>
    <w:p w14:paraId="59000000"/>
    <w:p w14:paraId="5A000000"/>
    <w:p w14:paraId="5B000000"/>
    <w:p w14:paraId="5C000000"/>
    <w:p w14:paraId="5D000000"/>
    <w:p w14:paraId="5E000000"/>
    <w:p w14:paraId="5F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60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Привлечение к труду несовершеннолетних в выходные и нерабочие праздничные дни в период летних каникул</w:t>
      </w:r>
    </w:p>
    <w:p w14:paraId="6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7"/>
        </w:rPr>
      </w:pPr>
    </w:p>
    <w:p w14:paraId="6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Статьей 268 Трудового кодекса РФ установлен запрет на направление</w:t>
      </w:r>
      <w:r>
        <w:rPr>
          <w:rFonts w:ascii="Times New Roman" w:hAnsi="Times New Roman"/>
          <w:color w:val="333333"/>
          <w:sz w:val="27"/>
        </w:rPr>
        <w:t xml:space="preserve">                         </w:t>
      </w:r>
      <w:r>
        <w:rPr>
          <w:rFonts w:ascii="Times New Roman" w:hAnsi="Times New Roman"/>
          <w:color w:val="333333"/>
          <w:sz w:val="27"/>
        </w:rPr>
        <w:t xml:space="preserve"> в служебные командировки, привлечение к сверхурочной работе, работе в ночное время, в выходные и нерабочие праздничные дни работников в возрасте </w:t>
      </w:r>
      <w:r>
        <w:rPr>
          <w:rFonts w:ascii="Times New Roman" w:hAnsi="Times New Roman"/>
          <w:color w:val="333333"/>
          <w:sz w:val="27"/>
        </w:rPr>
        <w:t xml:space="preserve">                             </w:t>
      </w:r>
      <w:r>
        <w:rPr>
          <w:rFonts w:ascii="Times New Roman" w:hAnsi="Times New Roman"/>
          <w:color w:val="333333"/>
          <w:sz w:val="27"/>
        </w:rPr>
        <w:t>до 18 лет.</w:t>
      </w:r>
    </w:p>
    <w:p w14:paraId="6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Вместе с тем Федеральным законом от 07.04.2025 № 63-ФЗ в указанную статью внесены изменения, устанавливающие возможность привлечения</w:t>
      </w:r>
      <w:r>
        <w:rPr>
          <w:rFonts w:ascii="Times New Roman" w:hAnsi="Times New Roman"/>
          <w:color w:val="333333"/>
          <w:sz w:val="27"/>
        </w:rPr>
        <w:t xml:space="preserve">                             </w:t>
      </w:r>
      <w:r>
        <w:rPr>
          <w:rFonts w:ascii="Times New Roman" w:hAnsi="Times New Roman"/>
          <w:color w:val="333333"/>
          <w:sz w:val="27"/>
        </w:rPr>
        <w:t xml:space="preserve"> к работе лиц в возрасте от 14 до 18 лет в выходные и нерабочие праздничные дни в период летних каникул.</w:t>
      </w:r>
    </w:p>
    <w:p w14:paraId="64000000">
      <w:pPr>
        <w:widowControl w:val="1"/>
        <w:spacing w:after="0" w:line="240" w:lineRule="auto"/>
        <w:ind w:firstLine="360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 xml:space="preserve">Так, работодатель имеет право привлекать работника в возрасте от 14 до 18 лет к работе в выходные и нерабочие праздничные дни, выполняемой в период летних каникул по направлению органов службы занятости населения </w:t>
      </w:r>
      <w:r>
        <w:rPr>
          <w:rFonts w:ascii="Times New Roman" w:hAnsi="Times New Roman"/>
          <w:color w:val="333333"/>
          <w:sz w:val="27"/>
        </w:rPr>
        <w:t xml:space="preserve">                                    </w:t>
      </w:r>
      <w:r>
        <w:rPr>
          <w:rFonts w:ascii="Times New Roman" w:hAnsi="Times New Roman"/>
          <w:color w:val="333333"/>
          <w:sz w:val="27"/>
        </w:rPr>
        <w:t>или в составе студенческих отрядов, включенных в федеральный</w:t>
      </w:r>
      <w:r>
        <w:rPr>
          <w:rFonts w:ascii="Times New Roman" w:hAnsi="Times New Roman"/>
          <w:color w:val="333333"/>
          <w:sz w:val="27"/>
        </w:rPr>
        <w:t xml:space="preserve">                                          </w:t>
      </w:r>
      <w:r>
        <w:rPr>
          <w:rFonts w:ascii="Times New Roman" w:hAnsi="Times New Roman"/>
          <w:color w:val="333333"/>
          <w:sz w:val="27"/>
        </w:rPr>
        <w:t xml:space="preserve"> или региональный реестр молодежных и детских объединений, пользующихся государственной поддержкой, в следующих случаях:</w:t>
      </w:r>
    </w:p>
    <w:p w14:paraId="65000000">
      <w:pPr>
        <w:widowControl w:val="1"/>
        <w:numPr>
          <w:ilvl w:val="0"/>
          <w:numId w:val="2"/>
        </w:numPr>
        <w:spacing w:after="0" w:beforeAutospacing="on" w:line="240" w:lineRule="auto"/>
        <w:ind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в случае, если работник достиг возраста 15 лет, с письменного согласия работника;</w:t>
      </w:r>
    </w:p>
    <w:p w14:paraId="66000000">
      <w:pPr>
        <w:widowControl w:val="1"/>
        <w:numPr>
          <w:ilvl w:val="0"/>
          <w:numId w:val="2"/>
        </w:numPr>
        <w:spacing w:after="0" w:beforeAutospacing="on" w:line="240" w:lineRule="auto"/>
        <w:ind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в случае, если работник не достиг возраста 15 лет, с письменного согласия работника и одного из его родителей (попечителя);</w:t>
      </w:r>
    </w:p>
    <w:p w14:paraId="67000000">
      <w:pPr>
        <w:widowControl w:val="1"/>
        <w:numPr>
          <w:ilvl w:val="0"/>
          <w:numId w:val="2"/>
        </w:numPr>
        <w:spacing w:after="0" w:beforeAutospacing="on" w:line="240" w:lineRule="auto"/>
        <w:ind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 xml:space="preserve">в отношении несовершеннолетнего лица, указанного в ч. 4 ст. 63 Трудового кодекса РФ, с письменного согласия работника и органа опеки </w:t>
      </w:r>
      <w:r>
        <w:rPr>
          <w:rFonts w:ascii="Times New Roman" w:hAnsi="Times New Roman"/>
          <w:color w:val="333333"/>
          <w:sz w:val="27"/>
        </w:rPr>
        <w:t xml:space="preserve">                                     </w:t>
      </w:r>
      <w:r>
        <w:rPr>
          <w:rFonts w:ascii="Times New Roman" w:hAnsi="Times New Roman"/>
          <w:color w:val="333333"/>
          <w:sz w:val="27"/>
        </w:rPr>
        <w:t>и попечительства или иного законного представителя несовершеннолетнего лица.</w:t>
      </w:r>
    </w:p>
    <w:p w14:paraId="68000000">
      <w:pPr>
        <w:widowControl w:val="1"/>
        <w:spacing w:after="0" w:beforeAutospacing="on" w:line="240" w:lineRule="auto"/>
        <w:ind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Указанные изменения вступили в силу с 1 сентября 2025 года.</w:t>
      </w:r>
    </w:p>
    <w:p w14:paraId="69000000"/>
    <w:p w14:paraId="6A000000"/>
    <w:p w14:paraId="6B000000"/>
    <w:p w14:paraId="6C000000"/>
    <w:p w14:paraId="6D000000"/>
    <w:p w14:paraId="6E000000"/>
    <w:p w14:paraId="6F000000"/>
    <w:p w14:paraId="70000000"/>
    <w:p w14:paraId="71000000"/>
    <w:p w14:paraId="72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7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С 1 марта 2025 года нельзя продавать несовершеннолетним потенциально опасные газосодержащие товары бытового назначения, а также безалкогольные тонизирующие напитки</w:t>
      </w:r>
    </w:p>
    <w:p w14:paraId="7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75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С 1 марта 2025 марта вступил в законную силу Федеральный закон</w:t>
      </w:r>
      <w:r>
        <w:rPr>
          <w:color w:val="333333"/>
          <w:sz w:val="27"/>
        </w:rPr>
        <w:t xml:space="preserve">                            </w:t>
      </w:r>
      <w:r>
        <w:rPr>
          <w:color w:val="333333"/>
          <w:sz w:val="27"/>
        </w:rPr>
        <w:t xml:space="preserve"> от 08.08.2024 № 304-ФЗ «О запрете продажи безалкогольных тонизирующих напитков (в том числе энергетических) несовершеннолетним», в соответствии </w:t>
      </w:r>
      <w:r>
        <w:rPr>
          <w:color w:val="333333"/>
          <w:sz w:val="27"/>
        </w:rPr>
        <w:t xml:space="preserve">                  </w:t>
      </w:r>
      <w:r>
        <w:rPr>
          <w:color w:val="333333"/>
          <w:sz w:val="27"/>
        </w:rPr>
        <w:t>с которым организациям, индивидуальным предприятиям, крестьянским (фермерским) хозяйствам без образования юридического лица, гражданам Российской Федерации, иностранным гражданам и лицам без гражданства запрещается продажа несовершеннолетним безалкогольных тонизирующих напитков (в том числе энергетических).</w:t>
      </w:r>
    </w:p>
    <w:p w14:paraId="76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Также, в соответствии с Федеральным законом от 30.11.2024 № 438-ФЗ </w:t>
      </w:r>
      <w:r>
        <w:rPr>
          <w:color w:val="333333"/>
          <w:sz w:val="27"/>
        </w:rPr>
        <w:t xml:space="preserve">                 </w:t>
      </w:r>
      <w:r>
        <w:rPr>
          <w:color w:val="333333"/>
          <w:sz w:val="27"/>
        </w:rPr>
        <w:t>«О внесении изменений в отдельные законодательные акты Российской Федерации» в целях обеспечения прав детей на охрану здоровья от негативного воздействия сжиженных углеводородных газов или их паров запрещается продажа (в том числе дистанционным способом) несовершеннолетним потенциально опасных газосодержащих товаров бытового назначения.</w:t>
      </w:r>
    </w:p>
    <w:p w14:paraId="77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В случае, если у продавца при продаже указанных товаров возникают сомнения в достижении покупателем совершеннолетия продавец обязан потребовать у покупателя документ, удостоверяющий его личность </w:t>
      </w:r>
      <w:r>
        <w:rPr>
          <w:color w:val="333333"/>
          <w:sz w:val="27"/>
        </w:rPr>
        <w:t xml:space="preserve">                                       </w:t>
      </w:r>
      <w:r>
        <w:rPr>
          <w:color w:val="333333"/>
          <w:sz w:val="27"/>
        </w:rPr>
        <w:t>и позволяющий установить возраст покупателя.</w:t>
      </w:r>
    </w:p>
    <w:p w14:paraId="78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Продавец обязан отказать покупателю в продаже потенциально опасных газосодержащих товаров бытового назначения, если в отношении покупателя имеются сомнения в достижении им совершеннолетия, но продавец не может</w:t>
      </w:r>
      <w:r>
        <w:rPr>
          <w:color w:val="333333"/>
          <w:sz w:val="27"/>
        </w:rPr>
        <w:t xml:space="preserve">                  </w:t>
      </w:r>
      <w:r>
        <w:rPr>
          <w:color w:val="333333"/>
          <w:sz w:val="27"/>
        </w:rPr>
        <w:t xml:space="preserve"> в установленном порядке в этом удостовериться.</w:t>
      </w:r>
    </w:p>
    <w:p w14:paraId="79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Более того, с 1 сентября 2025 года за продажу ребенку опасных газосодержащих товаров бытового назначения будут привлекать</w:t>
      </w:r>
      <w:r>
        <w:rPr>
          <w:color w:val="333333"/>
          <w:sz w:val="27"/>
        </w:rPr>
        <w:t xml:space="preserve">                                            </w:t>
      </w:r>
      <w:r>
        <w:rPr>
          <w:color w:val="333333"/>
          <w:sz w:val="27"/>
        </w:rPr>
        <w:t xml:space="preserve"> к административной ответственности. За реализацию несовершеннолетнему опасных бытовых товаров с газом должностное лицо оштрафуют на сумму от 500 тыс. до 700 тыс. руб., а организацию – от 1,5 млн, до 2 млн. руб.</w:t>
      </w:r>
    </w:p>
    <w:p w14:paraId="7A000000"/>
    <w:p w14:paraId="7B000000"/>
    <w:p w14:paraId="7C000000"/>
    <w:p w14:paraId="7D000000"/>
    <w:p w14:paraId="7E000000"/>
    <w:p w14:paraId="7F000000"/>
    <w:p w14:paraId="80000000"/>
    <w:p w14:paraId="81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82000000">
      <w:pPr>
        <w:pStyle w:val="Style_1"/>
        <w:widowControl w:val="1"/>
        <w:spacing w:after="0" w:before="0"/>
        <w:ind/>
        <w:jc w:val="center"/>
        <w:rPr>
          <w:b w:val="1"/>
          <w:color w:val="333333"/>
          <w:sz w:val="27"/>
          <w:highlight w:val="white"/>
        </w:rPr>
      </w:pPr>
      <w:r>
        <w:rPr>
          <w:b w:val="1"/>
          <w:color w:val="333333"/>
          <w:sz w:val="27"/>
          <w:highlight w:val="white"/>
        </w:rPr>
        <w:t>Новые гарантии мобилизованным и их семей</w:t>
      </w:r>
    </w:p>
    <w:p w14:paraId="83000000">
      <w:pPr>
        <w:pStyle w:val="Style_1"/>
        <w:widowControl w:val="1"/>
        <w:spacing w:after="0" w:before="0"/>
        <w:ind/>
        <w:jc w:val="both"/>
        <w:rPr>
          <w:color w:val="333333"/>
          <w:sz w:val="27"/>
        </w:rPr>
      </w:pPr>
    </w:p>
    <w:p w14:paraId="84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С 01.03.2025 вступил в силу Федеральный закон от 26.12.2024 № 498-ФЗ «О внесении изменений в Трудовой кодекс Российской Федерации». Согласно закону работодатели обязаны приостанавливать трудовые договоры на весь период прохождения работником военной службы по мобилизации, службы </w:t>
      </w:r>
      <w:r>
        <w:rPr>
          <w:color w:val="333333"/>
          <w:sz w:val="27"/>
        </w:rPr>
        <w:t xml:space="preserve">                        </w:t>
      </w:r>
      <w:r>
        <w:rPr>
          <w:color w:val="333333"/>
          <w:sz w:val="27"/>
        </w:rPr>
        <w:t xml:space="preserve">в войсках национальной гвардии Российской Федерации по мобилизации </w:t>
      </w:r>
      <w:r>
        <w:rPr>
          <w:color w:val="333333"/>
          <w:sz w:val="27"/>
        </w:rPr>
        <w:t xml:space="preserve">                        </w:t>
      </w:r>
      <w:r>
        <w:rPr>
          <w:color w:val="333333"/>
          <w:sz w:val="27"/>
        </w:rPr>
        <w:t>или действия контракта. В период приостановления действия трудового договора за работником сохраняется место работы (должность).</w:t>
      </w:r>
    </w:p>
    <w:p w14:paraId="85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Действие трудового договора возобновляется в день выхода работника</w:t>
      </w:r>
      <w:r>
        <w:rPr>
          <w:color w:val="333333"/>
          <w:sz w:val="27"/>
        </w:rPr>
        <w:t xml:space="preserve">                    </w:t>
      </w:r>
      <w:r>
        <w:rPr>
          <w:color w:val="333333"/>
          <w:sz w:val="27"/>
        </w:rPr>
        <w:t xml:space="preserve"> на работу, о чем он обязан предупредить работодателя не позднее чем за три рабочих дня.</w:t>
      </w:r>
    </w:p>
    <w:p w14:paraId="86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Один из родителей, если другой мобилизован, либо является добровольцем, либо заключил контракт на военную службу в период мобилизации, военного положения или в военное время, а в семье есть ребенок</w:t>
      </w:r>
      <w:r>
        <w:rPr>
          <w:color w:val="333333"/>
          <w:sz w:val="27"/>
        </w:rPr>
        <w:t xml:space="preserve">                          </w:t>
      </w:r>
      <w:r>
        <w:rPr>
          <w:color w:val="333333"/>
          <w:sz w:val="27"/>
        </w:rPr>
        <w:t xml:space="preserve"> в возрасте до 14 лет, может отказаться от сверхурочной работе, работе в ночное время, выходные и нерабочие праздничные дни. Отказ оформляется </w:t>
      </w:r>
      <w:r>
        <w:rPr>
          <w:color w:val="333333"/>
          <w:sz w:val="27"/>
        </w:rPr>
        <w:t xml:space="preserve">                             </w:t>
      </w:r>
      <w:r>
        <w:rPr>
          <w:color w:val="333333"/>
          <w:sz w:val="27"/>
        </w:rPr>
        <w:t>в письменном виде, без согласия работника привлекать его к этим видам работ нельзя.</w:t>
      </w:r>
    </w:p>
    <w:p w14:paraId="87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Для работников, имеющих ребенка в возрасте до 18 лет, если другой родитель относится к категории мобилизованных и приравненных к ним лиц, предусмотрено преимущественное право на оставление их на работе в связи </w:t>
      </w:r>
      <w:r>
        <w:rPr>
          <w:color w:val="333333"/>
          <w:sz w:val="27"/>
        </w:rPr>
        <w:t xml:space="preserve">                        </w:t>
      </w:r>
      <w:r>
        <w:rPr>
          <w:color w:val="333333"/>
          <w:sz w:val="27"/>
        </w:rPr>
        <w:t>с сокращением численности или штата работников при равной производительности труда и квалификации с другими работниками (ч. 2 ст. 179 ТК РФ).</w:t>
      </w:r>
    </w:p>
    <w:p w14:paraId="88000000"/>
    <w:p w14:paraId="89000000"/>
    <w:p w14:paraId="8A000000"/>
    <w:p w14:paraId="8B000000"/>
    <w:p w14:paraId="8C000000"/>
    <w:p w14:paraId="8D000000"/>
    <w:p w14:paraId="8E000000"/>
    <w:p w14:paraId="8F000000"/>
    <w:p w14:paraId="90000000"/>
    <w:p w14:paraId="91000000"/>
    <w:p w14:paraId="92000000"/>
    <w:p w14:paraId="93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9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С 1 сентября 2025 вводится уголовная ответственность за пропаганду наркотиков</w:t>
      </w:r>
    </w:p>
    <w:p w14:paraId="95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333333"/>
          <w:sz w:val="27"/>
          <w:highlight w:val="white"/>
        </w:rPr>
      </w:pPr>
    </w:p>
    <w:p w14:paraId="9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7"/>
          <w:highlight w:val="white"/>
        </w:rPr>
      </w:pPr>
      <w:r>
        <w:rPr>
          <w:rFonts w:ascii="Times New Roman" w:hAnsi="Times New Roman"/>
          <w:color w:val="333333"/>
          <w:sz w:val="27"/>
          <w:highlight w:val="white"/>
        </w:rPr>
        <w:t xml:space="preserve">Федеральным законом от 08.08.2024 № 226-ФЗ Уголовный кодекс Российской Федерации дополнен статьей 230.3, предусматривающей уголовную ответственность за пропаганду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в информационно- телекоммуникационных сетях (включая сеть «Интернет»), лицом после </w:t>
      </w:r>
      <w:r>
        <w:rPr>
          <w:rFonts w:ascii="Times New Roman" w:hAnsi="Times New Roman"/>
          <w:color w:val="333333"/>
          <w:sz w:val="27"/>
          <w:highlight w:val="white"/>
        </w:rPr>
        <w:t xml:space="preserve">                            </w:t>
      </w:r>
      <w:r>
        <w:rPr>
          <w:rFonts w:ascii="Times New Roman" w:hAnsi="Times New Roman"/>
          <w:color w:val="333333"/>
          <w:sz w:val="27"/>
          <w:highlight w:val="white"/>
        </w:rPr>
        <w:t>его привлечения к административной ответственности за аналогичное деяние два раза в течение одного года либо имеющим судимость за совершение преступления, предусмотренного настоящей статьей. </w:t>
      </w:r>
    </w:p>
    <w:p w14:paraId="9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7"/>
          <w:highlight w:val="white"/>
        </w:rPr>
      </w:pPr>
      <w:r>
        <w:rPr>
          <w:rFonts w:ascii="Times New Roman" w:hAnsi="Times New Roman"/>
          <w:color w:val="333333"/>
          <w:sz w:val="27"/>
          <w:highlight w:val="white"/>
        </w:rPr>
        <w:t>Совершение указанного преступления будет наказываться штрафом</w:t>
      </w:r>
      <w:r>
        <w:rPr>
          <w:rFonts w:ascii="Times New Roman" w:hAnsi="Times New Roman"/>
          <w:color w:val="333333"/>
          <w:sz w:val="27"/>
          <w:highlight w:val="white"/>
        </w:rPr>
        <w:t xml:space="preserve">                          </w:t>
      </w:r>
      <w:r>
        <w:rPr>
          <w:rFonts w:ascii="Times New Roman" w:hAnsi="Times New Roman"/>
          <w:color w:val="333333"/>
          <w:sz w:val="27"/>
          <w:highlight w:val="white"/>
        </w:rPr>
        <w:t xml:space="preserve"> в размере от ста тысяч до трехсот тысяч рублей или в размере заработной платы или иного дохода осужденного за период от одного года до двух лет, либо обязательными работами на срок от ста восьмидесяти до двухсот сорока часов </w:t>
      </w:r>
      <w:r>
        <w:rPr>
          <w:rFonts w:ascii="Times New Roman" w:hAnsi="Times New Roman"/>
          <w:color w:val="333333"/>
          <w:sz w:val="27"/>
          <w:highlight w:val="white"/>
        </w:rPr>
        <w:t xml:space="preserve">                 </w:t>
      </w:r>
      <w:r>
        <w:rPr>
          <w:rFonts w:ascii="Times New Roman" w:hAnsi="Times New Roman"/>
          <w:color w:val="333333"/>
          <w:sz w:val="27"/>
          <w:highlight w:val="white"/>
        </w:rPr>
        <w:t xml:space="preserve">с лишением права занимать определенные должности или заниматься определенной деятельностью на срок до двух лет или без такового, </w:t>
      </w:r>
      <w:r>
        <w:rPr>
          <w:rFonts w:ascii="Times New Roman" w:hAnsi="Times New Roman"/>
          <w:color w:val="333333"/>
          <w:sz w:val="27"/>
          <w:highlight w:val="white"/>
        </w:rPr>
        <w:t xml:space="preserve">                                  </w:t>
      </w:r>
      <w:r>
        <w:rPr>
          <w:rFonts w:ascii="Times New Roman" w:hAnsi="Times New Roman"/>
          <w:color w:val="333333"/>
          <w:sz w:val="27"/>
          <w:highlight w:val="white"/>
        </w:rPr>
        <w:t xml:space="preserve">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двух лет или без такового, либо ограничением свободы на срок до двух лет </w:t>
      </w:r>
      <w:r>
        <w:rPr>
          <w:rFonts w:ascii="Times New Roman" w:hAnsi="Times New Roman"/>
          <w:color w:val="333333"/>
          <w:sz w:val="27"/>
          <w:highlight w:val="white"/>
        </w:rPr>
        <w:t xml:space="preserve">                   </w:t>
      </w:r>
      <w:r>
        <w:rPr>
          <w:rFonts w:ascii="Times New Roman" w:hAnsi="Times New Roman"/>
          <w:color w:val="333333"/>
          <w:sz w:val="27"/>
          <w:highlight w:val="white"/>
        </w:rPr>
        <w:t xml:space="preserve">с лишением права занимать определенные должности или заниматься определенной деятельностью на срок до двух лет или без такового, </w:t>
      </w:r>
      <w:r>
        <w:rPr>
          <w:rFonts w:ascii="Times New Roman" w:hAnsi="Times New Roman"/>
          <w:color w:val="333333"/>
          <w:sz w:val="27"/>
          <w:highlight w:val="white"/>
        </w:rPr>
        <w:t xml:space="preserve">                                    </w:t>
      </w:r>
      <w:r>
        <w:rPr>
          <w:rFonts w:ascii="Times New Roman" w:hAnsi="Times New Roman"/>
          <w:color w:val="333333"/>
          <w:sz w:val="27"/>
          <w:highlight w:val="white"/>
        </w:rPr>
        <w:t>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двух лет или без такового,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такового. </w:t>
      </w:r>
    </w:p>
    <w:p w14:paraId="9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333333"/>
          <w:sz w:val="27"/>
          <w:highlight w:val="white"/>
        </w:rPr>
        <w:t>Внесенные в Уголовный кодекс Российской Федерации изменения действуют с 01.09.2025.</w:t>
      </w:r>
    </w:p>
    <w:p w14:paraId="99000000"/>
    <w:p w14:paraId="9A000000"/>
    <w:p w14:paraId="9B000000"/>
    <w:p w14:paraId="9C000000"/>
    <w:p w14:paraId="9D000000"/>
    <w:p w14:paraId="9E000000"/>
    <w:p w14:paraId="9F000000"/>
    <w:p w14:paraId="A0000000"/>
    <w:p w14:paraId="A1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A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Финансирование экстремистской деятельности</w:t>
      </w:r>
    </w:p>
    <w:p w14:paraId="A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A4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С 01.06.2025 вступает в силу Федеральный закон от 28.12.2024 № 522-ФЗ «О внесении изменений в Федеральный закон «О противодействии легализации (отмыванию) доходов, полученных преступным путем, и финансированию терроризма» и отдельные законодательные акты Российской Федерации», которым закрепляется понятие «финансирование экстремистской деятельности».</w:t>
      </w:r>
    </w:p>
    <w:p w14:paraId="A5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Под финансированием экстремистской деятельности понимается предоставление или сбор средств либо оказание финансовых услуг, заведомо предназначенных для финансирования организации, подготовки и совершения хотя бы одного из преступлений экстремистской направленности, признаваемых таковыми в соответствии с Уголовным кодексом Российской Федерации,</w:t>
      </w:r>
      <w:r>
        <w:rPr>
          <w:color w:val="000000"/>
          <w:sz w:val="27"/>
          <w:highlight w:val="white"/>
        </w:rPr>
        <w:t xml:space="preserve">                      </w:t>
      </w:r>
      <w:r>
        <w:rPr>
          <w:color w:val="000000"/>
          <w:sz w:val="27"/>
          <w:highlight w:val="white"/>
        </w:rPr>
        <w:t xml:space="preserve"> либо для обеспечения деятельности экстремистского сообщества </w:t>
      </w:r>
      <w:r>
        <w:rPr>
          <w:color w:val="000000"/>
          <w:sz w:val="27"/>
          <w:highlight w:val="white"/>
        </w:rPr>
        <w:t xml:space="preserve">                                   </w:t>
      </w:r>
      <w:r>
        <w:rPr>
          <w:color w:val="000000"/>
          <w:sz w:val="27"/>
          <w:highlight w:val="white"/>
        </w:rPr>
        <w:t>или экстремистской организации.</w:t>
      </w:r>
    </w:p>
    <w:p w14:paraId="A6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 xml:space="preserve">Поправками также дополнены основания для включения физических лиц </w:t>
      </w:r>
      <w:r>
        <w:rPr>
          <w:color w:val="000000"/>
          <w:sz w:val="27"/>
          <w:highlight w:val="white"/>
        </w:rPr>
        <w:t xml:space="preserve">              </w:t>
      </w:r>
      <w:r>
        <w:rPr>
          <w:color w:val="000000"/>
          <w:sz w:val="27"/>
          <w:highlight w:val="white"/>
        </w:rPr>
        <w:t>в перечень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A7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 xml:space="preserve">Кроме того, скорректированы полномочия Росфинмониторинга в части возможности приостановления финансовых операций со средствами, предположительно полученными преступным путем и связанными </w:t>
      </w:r>
      <w:r>
        <w:rPr>
          <w:color w:val="000000"/>
          <w:sz w:val="27"/>
          <w:highlight w:val="white"/>
        </w:rPr>
        <w:t xml:space="preserve">                                    </w:t>
      </w:r>
      <w:r>
        <w:rPr>
          <w:color w:val="000000"/>
          <w:sz w:val="27"/>
          <w:highlight w:val="white"/>
        </w:rPr>
        <w:t xml:space="preserve">с легализацией преступных доходов, направления информации </w:t>
      </w:r>
      <w:r>
        <w:rPr>
          <w:color w:val="000000"/>
          <w:sz w:val="27"/>
          <w:highlight w:val="white"/>
        </w:rPr>
        <w:t xml:space="preserve">                                              </w:t>
      </w:r>
      <w:r>
        <w:rPr>
          <w:color w:val="000000"/>
          <w:sz w:val="27"/>
          <w:highlight w:val="white"/>
        </w:rPr>
        <w:t>в правоохранительные органы в случае выявления фактов финансирования экстремисткой деятельности, а также направления запросов в компетентные органы иностранных государств в целях блокирования средств, полученных преступным путем.</w:t>
      </w:r>
    </w:p>
    <w:p w14:paraId="A8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 xml:space="preserve">Указанные изменения позволят существенно повысить эффективность принимаемых государством мер по выявлению лиц, причастных </w:t>
      </w:r>
      <w:r>
        <w:rPr>
          <w:color w:val="000000"/>
          <w:sz w:val="27"/>
          <w:highlight w:val="white"/>
        </w:rPr>
        <w:t xml:space="preserve">                                             </w:t>
      </w:r>
      <w:r>
        <w:rPr>
          <w:color w:val="000000"/>
          <w:sz w:val="27"/>
          <w:highlight w:val="white"/>
        </w:rPr>
        <w:t xml:space="preserve">к экстремистской деятельности, предупреждению и пресечению </w:t>
      </w:r>
      <w:r>
        <w:rPr>
          <w:color w:val="000000"/>
          <w:sz w:val="27"/>
          <w:highlight w:val="white"/>
        </w:rPr>
        <w:t xml:space="preserve">                                            </w:t>
      </w:r>
      <w:r>
        <w:rPr>
          <w:color w:val="000000"/>
          <w:sz w:val="27"/>
          <w:highlight w:val="white"/>
        </w:rPr>
        <w:t>их противоправной деятельности.</w:t>
      </w:r>
    </w:p>
    <w:p w14:paraId="A9000000"/>
    <w:p w14:paraId="AA000000"/>
    <w:p w14:paraId="AB000000"/>
    <w:p w14:paraId="AC000000"/>
    <w:p w14:paraId="AD000000"/>
    <w:p w14:paraId="AE000000"/>
    <w:p w14:paraId="AF000000"/>
    <w:p w14:paraId="B0000000"/>
    <w:p w14:paraId="B1000000"/>
    <w:p w14:paraId="B2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B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На нотариусов возложено информирование наследников о неисполненных обязательствах наследодателя</w:t>
      </w:r>
    </w:p>
    <w:p w14:paraId="B4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B5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Федеральным законом от 23.11.2024 № 407-ФЗ Основы законодательства Российской Федерации о нотариате дополнены статьей 61.1 - «Извещение наследников о долгах наследодателя».</w:t>
      </w:r>
    </w:p>
    <w:p w14:paraId="B6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 xml:space="preserve">В соответствии с указанной статьей нотариус, ведущий наследственное дело, не позднее трех рабочих дней, следующих за днем открытия наследственного дела, обязан направить запрос в Центральный каталог кредитных историй для получения информации о бюро кредитных историй, </w:t>
      </w:r>
      <w:r>
        <w:rPr>
          <w:color w:val="000000"/>
          <w:sz w:val="27"/>
          <w:highlight w:val="white"/>
        </w:rPr>
        <w:t xml:space="preserve">                        </w:t>
      </w:r>
      <w:r>
        <w:rPr>
          <w:color w:val="000000"/>
          <w:sz w:val="27"/>
          <w:highlight w:val="white"/>
        </w:rPr>
        <w:t>в котором хранится кредитная история наследодателя, либо об отсутствии кредитной истории наследодателя.</w:t>
      </w:r>
    </w:p>
    <w:p w14:paraId="B7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Информация из Центрального каталога кредитных историй и бюро кредитных историй предоставляется нотариусу через единую информационную систему нотариата в электронной форме на безвозмездной основе не позднее трех рабочих дней со дня получения соответствующего запроса.</w:t>
      </w:r>
    </w:p>
    <w:p w14:paraId="B8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Нотариус, не позднее трех рабочих дней, следующих за днем получения информации из Центрального каталога кредитных историй, извещает наследников, подавших ему заявления о принятии наследства:</w:t>
      </w:r>
    </w:p>
    <w:p w14:paraId="B9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-</w:t>
      </w:r>
      <w:r>
        <w:rPr>
          <w:color w:val="000000"/>
          <w:sz w:val="27"/>
          <w:highlight w:val="white"/>
        </w:rPr>
        <w:t>об отсутствии кредитной истории наследодателя;</w:t>
      </w:r>
    </w:p>
    <w:p w14:paraId="BA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-</w:t>
      </w:r>
      <w:r>
        <w:rPr>
          <w:color w:val="000000"/>
          <w:sz w:val="27"/>
          <w:highlight w:val="white"/>
        </w:rPr>
        <w:t>об отсутствии неисполненных долговых обязательств наследодателя;</w:t>
      </w:r>
    </w:p>
    <w:p w14:paraId="BB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-</w:t>
      </w:r>
      <w:r>
        <w:rPr>
          <w:color w:val="000000"/>
          <w:sz w:val="27"/>
          <w:highlight w:val="white"/>
        </w:rPr>
        <w:t xml:space="preserve">о наличии неисполненных долговых обязательств </w:t>
      </w:r>
      <w:r>
        <w:rPr>
          <w:color w:val="000000"/>
          <w:sz w:val="27"/>
          <w:highlight w:val="white"/>
        </w:rPr>
        <w:t xml:space="preserve">наследодателя, </w:t>
      </w:r>
      <w:r>
        <w:rPr>
          <w:color w:val="000000"/>
          <w:sz w:val="27"/>
          <w:highlight w:val="white"/>
        </w:rPr>
        <w:t xml:space="preserve">  </w:t>
      </w:r>
      <w:r>
        <w:rPr>
          <w:color w:val="000000"/>
          <w:sz w:val="27"/>
          <w:highlight w:val="white"/>
        </w:rPr>
        <w:t xml:space="preserve">                        </w:t>
      </w:r>
      <w:r>
        <w:rPr>
          <w:color w:val="000000"/>
          <w:sz w:val="27"/>
          <w:highlight w:val="white"/>
        </w:rPr>
        <w:t>об их размере;</w:t>
      </w:r>
    </w:p>
    <w:p w14:paraId="BC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-</w:t>
      </w:r>
      <w:r>
        <w:rPr>
          <w:color w:val="000000"/>
          <w:sz w:val="27"/>
          <w:highlight w:val="white"/>
        </w:rPr>
        <w:t>о наличии неисполненных долговых обязательств наследодателя, сведения о которых получены им из иных источников.</w:t>
      </w:r>
    </w:p>
    <w:p w14:paraId="BD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Нотариус извещает о полученной информации наследников в письменной форме по известному адресу места жительства или известному адресу электронной почты либо знакомит их с полученной информацией при личной явке.</w:t>
      </w:r>
    </w:p>
    <w:p w14:paraId="BE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000000"/>
          <w:sz w:val="27"/>
          <w:highlight w:val="white"/>
        </w:rPr>
        <w:t>Изменения вступают в силу с 24.11.2025.</w:t>
      </w:r>
    </w:p>
    <w:p w14:paraId="BF000000"/>
    <w:p w14:paraId="C0000000"/>
    <w:p w14:paraId="C1000000"/>
    <w:p w14:paraId="C2000000"/>
    <w:p w14:paraId="C3000000"/>
    <w:p w14:paraId="C4000000"/>
    <w:p w14:paraId="C5000000"/>
    <w:p w14:paraId="C6000000"/>
    <w:p w14:paraId="C7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C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Обновлены условия получения ежемесячных выплат по уходу за детьми-инвалидами в возрасте до 18 лет или инвалидами с детства I группы</w:t>
      </w:r>
    </w:p>
    <w:p w14:paraId="C9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CA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Вступили в силу поправки к постановлению Правительства РФ </w:t>
      </w:r>
      <w:r>
        <w:rPr>
          <w:color w:val="333333"/>
          <w:sz w:val="27"/>
        </w:rPr>
        <w:t xml:space="preserve">                                  </w:t>
      </w:r>
      <w:r>
        <w:rPr>
          <w:color w:val="333333"/>
          <w:sz w:val="27"/>
        </w:rPr>
        <w:t>от 02.05.2013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>№ 397 «Об осуществлении ежемесячных выплат трудоспособным лицам, осуществляющим уход за детьми-инвалидами в возрасте до 18 лет</w:t>
      </w:r>
      <w:r>
        <w:rPr>
          <w:color w:val="333333"/>
          <w:sz w:val="27"/>
        </w:rPr>
        <w:t xml:space="preserve">                     </w:t>
      </w:r>
      <w:r>
        <w:rPr>
          <w:color w:val="333333"/>
          <w:sz w:val="27"/>
        </w:rPr>
        <w:t xml:space="preserve"> или инвалидами с детства I группы».</w:t>
      </w:r>
    </w:p>
    <w:p w14:paraId="CB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Ежемесячная выплата неработающему трудоспособному лицу устанавливается при наличии обязательства по обеспечению ухода, необходимого для ребенка-инвалида или инвалида с детства I группы (обеспечение поддержки питания, личной гигиены, состояния здоровья, мобильности и социального функционирования), продолжительностью не менее 14 часов в неделю.</w:t>
      </w:r>
    </w:p>
    <w:p w14:paraId="CC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Подтверждение осуществления другим неработающим трудоспособным лицом такого ухода осуществляется посредством контроля законного представителя за исполнением обязательства по обеспечению ухода.</w:t>
      </w:r>
    </w:p>
    <w:p w14:paraId="CD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Дополнен перечень случаев, при которых осуществление ежемесячной выплаты прекращается:</w:t>
      </w:r>
    </w:p>
    <w:p w14:paraId="CE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- поступление заявления об отказе от ухода в связи с неисполнением обязательства по обеспечению ухода;</w:t>
      </w:r>
    </w:p>
    <w:p w14:paraId="CF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- непредставление заявления о назначении выплаты до истечения 12 месяцев с даты подачи предыдущего заявления;</w:t>
      </w:r>
    </w:p>
    <w:p w14:paraId="D0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- утрата лицом, осуществляющим уход, статуса родителя (усыновителя) или опекуна (попечителя) ребенка-инвалида в возрасте до 18 лет, инвалида </w:t>
      </w:r>
      <w:r>
        <w:rPr>
          <w:color w:val="333333"/>
          <w:sz w:val="27"/>
        </w:rPr>
        <w:t xml:space="preserve">                           </w:t>
      </w:r>
      <w:r>
        <w:rPr>
          <w:color w:val="333333"/>
          <w:sz w:val="27"/>
        </w:rPr>
        <w:t>с детства I группы.</w:t>
      </w:r>
    </w:p>
    <w:p w14:paraId="D1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Отказ законного представителя ребенка-инвалида в возрасте до 18 лет </w:t>
      </w:r>
      <w:r>
        <w:rPr>
          <w:color w:val="333333"/>
          <w:sz w:val="27"/>
        </w:rPr>
        <w:t xml:space="preserve">                 </w:t>
      </w:r>
      <w:r>
        <w:rPr>
          <w:color w:val="333333"/>
          <w:sz w:val="27"/>
        </w:rPr>
        <w:t xml:space="preserve">или инвалида с детства I группы от ухода, осуществляемого другим неработающим трудоспособным лицом, в связи с неисполнением </w:t>
      </w:r>
      <w:r>
        <w:rPr>
          <w:color w:val="333333"/>
          <w:sz w:val="27"/>
        </w:rPr>
        <w:t xml:space="preserve">                                 </w:t>
      </w:r>
      <w:r>
        <w:rPr>
          <w:color w:val="333333"/>
          <w:sz w:val="27"/>
        </w:rPr>
        <w:t>им обязательства по обеспечению ухода может быть заявлен в устной форме посредством телефонной связи. Такой отказ оформляется органом, осуществляющим выплату пенсии, путем составления соответствующего акта.</w:t>
      </w:r>
    </w:p>
    <w:p w14:paraId="D2000000"/>
    <w:p w14:paraId="D3000000"/>
    <w:p w14:paraId="D4000000"/>
    <w:p w14:paraId="D5000000"/>
    <w:p w14:paraId="D6000000"/>
    <w:p w14:paraId="D7000000"/>
    <w:p w14:paraId="D8000000"/>
    <w:p w14:paraId="D9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DA000000"/>
    <w:p w14:paraId="DB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Расширен перечень категорий граждан, имеющих право на получение бесплатной юридической помощи</w:t>
      </w:r>
    </w:p>
    <w:p w14:paraId="DC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DD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Федеральным законом от 01.04.2025 № 48-ФЗ внесены изменения в статью 20 Федерального закона «О бесплатной юридической помощи в Российской Федерации».</w:t>
      </w:r>
    </w:p>
    <w:p w14:paraId="DE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Теперь правом на получение бесплатной юридической помощи в рамках государственной системы бесплатной юридической помощи наделяются многодетные родители, имеющие трёх и более детей, до достижения старшим ребёнком возраста 18 лет или возраста 23 лет при условии его обучения</w:t>
      </w:r>
      <w:r>
        <w:rPr>
          <w:color w:val="333333"/>
          <w:sz w:val="27"/>
        </w:rPr>
        <w:t xml:space="preserve">                                </w:t>
      </w:r>
      <w:r>
        <w:rPr>
          <w:color w:val="333333"/>
          <w:sz w:val="27"/>
        </w:rPr>
        <w:t xml:space="preserve"> в организации, осуществляющей образовательную деятельность, по очной форме обучения.</w:t>
      </w:r>
    </w:p>
    <w:p w14:paraId="DF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Кроме того, бесплатная юридическая помощь оказывается государственными юридическими бюро и адвокатами, являющимися участниками государственной системы бесплатной юридической </w:t>
      </w:r>
      <w:r>
        <w:rPr>
          <w:color w:val="333333"/>
          <w:sz w:val="27"/>
        </w:rPr>
        <w:t>помощи,</w:t>
      </w:r>
      <w:r>
        <w:rPr>
          <w:color w:val="333333"/>
          <w:sz w:val="27"/>
        </w:rPr>
        <w:t xml:space="preserve">   </w:t>
      </w:r>
      <w:r>
        <w:rPr>
          <w:color w:val="333333"/>
          <w:sz w:val="27"/>
        </w:rPr>
        <w:t xml:space="preserve">                      </w:t>
      </w:r>
      <w:r>
        <w:rPr>
          <w:color w:val="333333"/>
          <w:sz w:val="27"/>
        </w:rPr>
        <w:t xml:space="preserve"> в случае представления ими в судах, государственных и муниципальных органах, организациях интересов истцов (заявителей) при рассмотрении дел </w:t>
      </w:r>
      <w:r>
        <w:rPr>
          <w:color w:val="333333"/>
          <w:sz w:val="27"/>
        </w:rPr>
        <w:t xml:space="preserve">                                      </w:t>
      </w:r>
      <w:r>
        <w:rPr>
          <w:color w:val="333333"/>
          <w:sz w:val="27"/>
        </w:rPr>
        <w:t>об установлении и оспаривании отцовства (материнства).</w:t>
      </w:r>
    </w:p>
    <w:p w14:paraId="E0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Поправки вступили в законную силу.</w:t>
      </w:r>
    </w:p>
    <w:p w14:paraId="E1000000"/>
    <w:p w14:paraId="E2000000"/>
    <w:p w14:paraId="E3000000"/>
    <w:p w14:paraId="E4000000"/>
    <w:p w14:paraId="E5000000"/>
    <w:p w14:paraId="E6000000"/>
    <w:p w14:paraId="E7000000"/>
    <w:p w14:paraId="E8000000"/>
    <w:p w14:paraId="E9000000"/>
    <w:p w14:paraId="EA000000"/>
    <w:p w14:paraId="EB000000"/>
    <w:p w14:paraId="EC000000"/>
    <w:p w14:paraId="ED000000"/>
    <w:p w14:paraId="EE000000"/>
    <w:p w14:paraId="EF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F0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Введены дополнительные механизмы противодействия телефонному мошенничеству и хищениям, совершаемым в сети «Интернет»</w:t>
      </w:r>
    </w:p>
    <w:p w14:paraId="F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F2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С 1 июня 2025 года вступили в силу Федеральный закон от 01.04.2025 </w:t>
      </w:r>
      <w:r>
        <w:rPr>
          <w:color w:val="333333"/>
          <w:sz w:val="27"/>
        </w:rPr>
        <w:t xml:space="preserve">                   </w:t>
      </w:r>
      <w:r>
        <w:rPr>
          <w:color w:val="333333"/>
          <w:sz w:val="27"/>
        </w:rPr>
        <w:t>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</w:t>
      </w:r>
      <w:r>
        <w:rPr>
          <w:color w:val="333333"/>
          <w:sz w:val="27"/>
        </w:rPr>
        <w:t xml:space="preserve">                     </w:t>
      </w:r>
      <w:r>
        <w:rPr>
          <w:color w:val="333333"/>
          <w:sz w:val="27"/>
        </w:rPr>
        <w:t xml:space="preserve"> в отдельные законодательные акты Российской Федерации».</w:t>
      </w:r>
    </w:p>
    <w:p w14:paraId="F3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Законом, в частности,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 xml:space="preserve">вводится обязательная маркировка, то есть отображение на экране телефона пользователя наименования </w:t>
      </w:r>
      <w:r>
        <w:rPr>
          <w:color w:val="333333"/>
          <w:sz w:val="27"/>
        </w:rPr>
        <w:t xml:space="preserve">организации, </w:t>
      </w:r>
      <w:r>
        <w:rPr>
          <w:color w:val="333333"/>
          <w:sz w:val="27"/>
        </w:rPr>
        <w:t xml:space="preserve">  </w:t>
      </w:r>
      <w:r>
        <w:rPr>
          <w:color w:val="333333"/>
          <w:sz w:val="27"/>
        </w:rPr>
        <w:t xml:space="preserve">                    </w:t>
      </w:r>
      <w:r>
        <w:rPr>
          <w:color w:val="333333"/>
          <w:sz w:val="27"/>
        </w:rPr>
        <w:t>от которой поступает звонок. В случае, если такая маркировка отсутствует, это будет свидетельствовать о сомнительном звонке;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 xml:space="preserve">сотрудникам банков, </w:t>
      </w:r>
      <w:r>
        <w:rPr>
          <w:color w:val="333333"/>
          <w:sz w:val="27"/>
        </w:rPr>
        <w:t>некредитных</w:t>
      </w:r>
      <w:r>
        <w:rPr>
          <w:color w:val="333333"/>
          <w:sz w:val="27"/>
        </w:rPr>
        <w:t xml:space="preserve"> финансовых организаций, операторам связи и ряду иных лиц запрещается информировать граждан через иностранные мессенджеры;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>устанавливается запрет на передачу SIM-карт третьим лицам, за исключением членов семьи и близких родственников абонента;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>для граждан вводится возможность установления запрета на заключение договоров об оказании услуг связи без личного присутствия. Запрет можно будет установить через Единый портал госуслуг или при обращении в МФЦ, а снять - только при личном посещении МФЦ;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 xml:space="preserve">предусматривается право абонента отказаться от получения рассылок и массовых вызовов. В этом случае оператор связи прекратит их. </w:t>
      </w:r>
    </w:p>
    <w:p w14:paraId="F4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Порядок отказа утвердит правительство.</w:t>
      </w:r>
    </w:p>
    <w:p w14:paraId="F5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Кроме этого, закреплены мероприятия по противодействию выдаче наличных без добровольного согласия клиента с использованием банкоматов.</w:t>
      </w:r>
    </w:p>
    <w:p w14:paraId="F6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Так, кредитная организация должна ограничить на 48 часов выдачу наличных денежных средств на сумму не более 50 тысяч рублей в сутки через банкомат, если выявит признаки выдачи денежных средств без добровольного согласия клиента, а также ограничить выдачу наличных денежных средств </w:t>
      </w:r>
      <w:r>
        <w:rPr>
          <w:color w:val="333333"/>
          <w:sz w:val="27"/>
        </w:rPr>
        <w:t xml:space="preserve">                           </w:t>
      </w:r>
      <w:r>
        <w:rPr>
          <w:color w:val="333333"/>
          <w:sz w:val="27"/>
        </w:rPr>
        <w:t>с использованием банкоматов до 100 тысяч рублей в месяц, если от Банка России поступит информация о случаях или попытках осуществления переводов денежных средств без добровольного согласия клиента.</w:t>
      </w:r>
    </w:p>
    <w:p w14:paraId="F7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Признаки выдачи наличных денежных средств без добровольного согласия устанавливаются Банком России и размещаются на его официальном сайте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>в информационно-телекоммуникационной сети «Интернет».</w:t>
      </w:r>
    </w:p>
    <w:p w14:paraId="F8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Предусмотрены и иные нововведения, направленные на защиту </w:t>
      </w:r>
      <w:r>
        <w:rPr>
          <w:color w:val="333333"/>
          <w:sz w:val="27"/>
        </w:rPr>
        <w:t xml:space="preserve">                                 </w:t>
      </w:r>
      <w:r>
        <w:rPr>
          <w:color w:val="333333"/>
          <w:sz w:val="27"/>
        </w:rPr>
        <w:t>от противоправных деяний, совершаемых с использованием информационных технологий.</w:t>
      </w:r>
    </w:p>
    <w:p w14:paraId="F900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Федеральный закон вступил в силу с 1 июня 2025 года, за исключением положений, для которых установлены иные сроки вступления их в силу.</w:t>
      </w:r>
    </w:p>
    <w:p w14:paraId="FA000000"/>
    <w:p w14:paraId="FB000000"/>
    <w:p w14:paraId="FC000000"/>
    <w:p w14:paraId="FD00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F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Изменились требования к договору дарения недвижимого имущества</w:t>
      </w:r>
    </w:p>
    <w:p w14:paraId="FF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0001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 xml:space="preserve">Федеральным законом от 13.12.2024 № 459-ФЗ внесены изменения </w:t>
      </w:r>
      <w:r>
        <w:rPr>
          <w:color w:val="333333"/>
          <w:sz w:val="27"/>
        </w:rPr>
        <w:t xml:space="preserve">                            </w:t>
      </w:r>
      <w:r>
        <w:rPr>
          <w:color w:val="333333"/>
          <w:sz w:val="27"/>
        </w:rPr>
        <w:t>в</w:t>
      </w:r>
      <w:r>
        <w:rPr>
          <w:color w:val="333333"/>
          <w:sz w:val="27"/>
        </w:rPr>
        <w:t xml:space="preserve"> </w:t>
      </w:r>
      <w:r>
        <w:rPr>
          <w:color w:val="333333"/>
          <w:sz w:val="27"/>
        </w:rPr>
        <w:t>статью 574 Гражданского кодекса РФ, устанавливающей требования к форме договора дарения, заключаемого между субъектами гражданских правоотношений.</w:t>
      </w:r>
    </w:p>
    <w:p w14:paraId="0101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Начиная с 13 января 2025 года, обязанностью граждан, заключающих договор дарения недвижимого имущества, является необходимость его нотариального удостоверения.</w:t>
      </w:r>
    </w:p>
    <w:p w14:paraId="0201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Нотариус, заверивший договор, по общему правилу самостоятельно подает в Федеральную службу государственной регистрации, кадастра и картографии (Росреестр) заявление о регистрации прав на недвижимое имущество.</w:t>
      </w:r>
    </w:p>
    <w:p w14:paraId="0301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Однако, граждане, заключающие договор дарения, вправе возразить против направления нотариусом сведений для регистрации перехода права собственности на недвижимое имущество и обратиться за соответствующей услугой самостоятельно.</w:t>
      </w:r>
    </w:p>
    <w:p w14:paraId="04010000">
      <w:pPr>
        <w:pStyle w:val="Style_1"/>
        <w:widowControl w:val="1"/>
        <w:spacing w:after="0" w:before="0"/>
        <w:ind w:firstLine="708"/>
        <w:jc w:val="both"/>
        <w:rPr>
          <w:color w:val="333333"/>
          <w:sz w:val="27"/>
        </w:rPr>
      </w:pPr>
      <w:r>
        <w:rPr>
          <w:color w:val="333333"/>
          <w:sz w:val="27"/>
        </w:rPr>
        <w:t>Основанием для внесения поправок послужило то, что нотариальное удостоверение договоров дарения выступит формой социальной защиты имущественных прав граждан со стороны государства, так как в силу положений статьи 54 Основ законодательства Российской Федерации о нотариате нотариус разъясняет сторонам смысл и значение заключаемой сделки, проверяет, соответствует ли содержание сделки действительным намерениям сторон.</w:t>
      </w:r>
    </w:p>
    <w:p w14:paraId="05010000"/>
    <w:p w14:paraId="06010000"/>
    <w:p w14:paraId="07010000"/>
    <w:p w14:paraId="08010000"/>
    <w:p w14:paraId="09010000"/>
    <w:p w14:paraId="0A010000"/>
    <w:p w14:paraId="0B010000"/>
    <w:p w14:paraId="0C010000"/>
    <w:p w14:paraId="0D010000"/>
    <w:p w14:paraId="0E010000"/>
    <w:p w14:paraId="0F010000"/>
    <w:p w14:paraId="10010000"/>
    <w:p w14:paraId="11010000"/>
    <w:p w14:paraId="12010000">
      <w:pPr>
        <w:widowControl w:val="1"/>
        <w:spacing w:after="240" w:before="240" w:line="450" w:lineRule="atLeast"/>
        <w:ind w:firstLine="708"/>
        <w:jc w:val="both"/>
        <w:outlineLvl w:val="1"/>
        <w:rPr>
          <w:rFonts w:ascii="Times New Roman" w:hAnsi="Times New Roman"/>
          <w:b w:val="1"/>
          <w:color w:val="1C1C1C"/>
          <w:sz w:val="28"/>
        </w:rPr>
      </w:pPr>
      <w:r>
        <w:rPr>
          <w:rFonts w:ascii="Times New Roman" w:hAnsi="Times New Roman"/>
          <w:b w:val="1"/>
          <w:color w:val="1C1C1C"/>
          <w:sz w:val="28"/>
        </w:rPr>
        <w:t>Прокуратура Алексеевского района</w:t>
      </w:r>
      <w:r>
        <w:rPr>
          <w:rFonts w:ascii="Times New Roman" w:hAnsi="Times New Roman"/>
          <w:b w:val="1"/>
          <w:color w:val="1C1C1C"/>
          <w:sz w:val="28"/>
        </w:rPr>
        <w:t xml:space="preserve"> Самарской области разъясняет:</w:t>
      </w:r>
    </w:p>
    <w:p w14:paraId="13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7"/>
          <w:highlight w:val="white"/>
        </w:rPr>
      </w:pPr>
      <w:r>
        <w:rPr>
          <w:rFonts w:ascii="Times New Roman" w:hAnsi="Times New Roman"/>
          <w:b w:val="1"/>
          <w:color w:val="333333"/>
          <w:sz w:val="27"/>
          <w:highlight w:val="white"/>
        </w:rPr>
        <w:t>Ответственность за преступления, связанные с диверсионной деятельностью</w:t>
      </w:r>
    </w:p>
    <w:p w14:paraId="14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7"/>
          <w:highlight w:val="white"/>
        </w:rPr>
      </w:pPr>
    </w:p>
    <w:p w14:paraId="15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Диверсионная деятельность является одним из опаснейших способов уничтожения предметов материального мира, содержит реальные риски жизни </w:t>
      </w:r>
      <w:r>
        <w:rPr>
          <w:rFonts w:ascii="Times New Roman" w:hAnsi="Times New Roman"/>
          <w:color w:val="000000"/>
          <w:sz w:val="27"/>
        </w:rPr>
        <w:t xml:space="preserve">                    </w:t>
      </w:r>
      <w:r>
        <w:rPr>
          <w:rFonts w:ascii="Times New Roman" w:hAnsi="Times New Roman"/>
          <w:color w:val="000000"/>
          <w:sz w:val="27"/>
        </w:rPr>
        <w:t>и здоровью населения, представляя угрозу безопасности общества. В условиях, когда проводится специальная военная операция, страна остается открытой</w:t>
      </w:r>
      <w:r>
        <w:rPr>
          <w:rFonts w:ascii="Times New Roman" w:hAnsi="Times New Roman"/>
          <w:color w:val="000000"/>
          <w:sz w:val="27"/>
        </w:rPr>
        <w:t xml:space="preserve">                         </w:t>
      </w:r>
      <w:r>
        <w:rPr>
          <w:rFonts w:ascii="Times New Roman" w:hAnsi="Times New Roman"/>
          <w:color w:val="000000"/>
          <w:sz w:val="27"/>
        </w:rPr>
        <w:t xml:space="preserve"> для въезда иностранных граждан, идет поток беженцев, диверсионная деятельность представляет реальную угрозу безопасности государства, поскольку ориентирована на дестабилизацию или полное уничтожение предприятий военно-промышленного комплекса, объектов транспортной инфраструктуры и иных объектов жизнеобеспечения населения.</w:t>
      </w:r>
    </w:p>
    <w:p w14:paraId="16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Методы диверсии - поджоги, взрывы, использование иных средств разрушения – не связаны с военными действиями. Цель их совершения: причинение максимально возможного физического и экономического вреда, который прямо</w:t>
      </w:r>
      <w:r>
        <w:rPr>
          <w:rFonts w:ascii="Times New Roman" w:hAnsi="Times New Roman"/>
          <w:color w:val="000000"/>
          <w:sz w:val="27"/>
        </w:rPr>
        <w:t xml:space="preserve">  </w:t>
      </w:r>
      <w:r>
        <w:rPr>
          <w:rFonts w:ascii="Times New Roman" w:hAnsi="Times New Roman"/>
          <w:color w:val="000000"/>
          <w:sz w:val="27"/>
        </w:rPr>
        <w:t xml:space="preserve"> или опосредованно должен сказаться на обороноспособности страны и повлиять </w:t>
      </w:r>
      <w:r>
        <w:rPr>
          <w:rFonts w:ascii="Times New Roman" w:hAnsi="Times New Roman"/>
          <w:color w:val="000000"/>
          <w:sz w:val="27"/>
        </w:rPr>
        <w:t>на жизнедеятельность населения. В любом случае диверсионные действия носят разрушительный характер и представляют повышенную общественную опасность.</w:t>
      </w:r>
    </w:p>
    <w:p w14:paraId="17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К диверсии относятся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 средств, средств связи, объектов жизнеобеспечения населения либо нанесение вреда здоровью людей </w:t>
      </w:r>
      <w:r>
        <w:rPr>
          <w:rFonts w:ascii="Times New Roman" w:hAnsi="Times New Roman"/>
          <w:color w:val="000000"/>
          <w:sz w:val="27"/>
        </w:rPr>
        <w:t xml:space="preserve">              </w:t>
      </w:r>
      <w:r>
        <w:rPr>
          <w:rFonts w:ascii="Times New Roman" w:hAnsi="Times New Roman"/>
          <w:color w:val="000000"/>
          <w:sz w:val="27"/>
        </w:rPr>
        <w:t>и (или) компонентам природной среды, если эти действия совершены в целях подрыва экономической безопасности и (или ) обороноспособности Российской Федерации.</w:t>
      </w:r>
    </w:p>
    <w:p w14:paraId="18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Указанные действия квалифицируются по ч. 1 ст. 281 УК РФ, которая устанавливает наказание от 10 до 20 лет лишения свободы.</w:t>
      </w:r>
    </w:p>
    <w:p w14:paraId="19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Если вышеперечисленные действия совершены группой лиц </w:t>
      </w:r>
      <w:r>
        <w:rPr>
          <w:rFonts w:ascii="Times New Roman" w:hAnsi="Times New Roman"/>
          <w:color w:val="000000"/>
          <w:sz w:val="27"/>
        </w:rPr>
        <w:t xml:space="preserve">                                     </w:t>
      </w:r>
      <w:r>
        <w:rPr>
          <w:rFonts w:ascii="Times New Roman" w:hAnsi="Times New Roman"/>
          <w:color w:val="000000"/>
          <w:sz w:val="27"/>
        </w:rPr>
        <w:t xml:space="preserve">по предварительному сговору или организованной группой, повлекли причинение значительного имущественного ущерба либо наступление тяжких последствий, были сопряжены с посягательством на объекты федерального органа исполнительной власти или обороны, Вооружённых Сил РФ, войск национальной гвардии РФ, органов госвласти, привлекаемых для выполнения отдельных задач </w:t>
      </w:r>
      <w:r>
        <w:rPr>
          <w:rFonts w:ascii="Times New Roman" w:hAnsi="Times New Roman"/>
          <w:color w:val="000000"/>
          <w:sz w:val="27"/>
        </w:rPr>
        <w:t xml:space="preserve">                    </w:t>
      </w:r>
      <w:r>
        <w:rPr>
          <w:rFonts w:ascii="Times New Roman" w:hAnsi="Times New Roman"/>
          <w:color w:val="000000"/>
          <w:sz w:val="27"/>
        </w:rPr>
        <w:t xml:space="preserve">в области обороны, а также объекты топливно-энергетического комплекса </w:t>
      </w:r>
      <w:r>
        <w:rPr>
          <w:rFonts w:ascii="Times New Roman" w:hAnsi="Times New Roman"/>
          <w:color w:val="000000"/>
          <w:sz w:val="27"/>
        </w:rPr>
        <w:t xml:space="preserve">                                  </w:t>
      </w:r>
      <w:r>
        <w:rPr>
          <w:rFonts w:ascii="Times New Roman" w:hAnsi="Times New Roman"/>
          <w:color w:val="000000"/>
          <w:sz w:val="27"/>
        </w:rPr>
        <w:t>и организаций оборонно-промышленного комплекса (ч. 2 ст. 281 УК РФ), наказание может быть назначено на срок от 12 до 20 лет лишения свободы.</w:t>
      </w:r>
    </w:p>
    <w:p w14:paraId="1A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Если действия, перечисленные в 1 и 2 ст. 281 УК РФ, были сопряжены </w:t>
      </w:r>
      <w:r>
        <w:rPr>
          <w:rFonts w:ascii="Times New Roman" w:hAnsi="Times New Roman"/>
          <w:color w:val="000000"/>
          <w:sz w:val="27"/>
        </w:rPr>
        <w:t xml:space="preserve">                       </w:t>
      </w:r>
      <w:r>
        <w:rPr>
          <w:rFonts w:ascii="Times New Roman" w:hAnsi="Times New Roman"/>
          <w:color w:val="000000"/>
          <w:sz w:val="27"/>
        </w:rPr>
        <w:t xml:space="preserve">с посягательством 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 либо ядовитых, отравляющих, токсичных, опасных химических веществ или патогенных биологических агентов, либо повлекли смерть человека, наказание назначается </w:t>
      </w:r>
      <w:r>
        <w:rPr>
          <w:rFonts w:ascii="Times New Roman" w:hAnsi="Times New Roman"/>
          <w:color w:val="000000"/>
          <w:sz w:val="27"/>
        </w:rPr>
        <w:t>от 15 до 20 лет лишения свободы или пожизненное лишение свободы.</w:t>
      </w:r>
    </w:p>
    <w:p w14:paraId="1B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Федеральным законом от 29.12.2022 № 586 криминализированы иные действия, связанные с диверсионной деятельностью, в частности, содействие, обучение диверсионной деятельности и ряд других.</w:t>
      </w:r>
    </w:p>
    <w:p w14:paraId="1C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Так, согласно ст. 281.1 УК РФ уголовная ответственность наступает</w:t>
      </w:r>
      <w:r>
        <w:rPr>
          <w:rFonts w:ascii="Times New Roman" w:hAnsi="Times New Roman"/>
          <w:color w:val="000000"/>
          <w:sz w:val="27"/>
        </w:rPr>
        <w:t xml:space="preserve">                       </w:t>
      </w:r>
      <w:r>
        <w:rPr>
          <w:rFonts w:ascii="Times New Roman" w:hAnsi="Times New Roman"/>
          <w:color w:val="000000"/>
          <w:sz w:val="27"/>
        </w:rPr>
        <w:t xml:space="preserve"> за содействие диверсионной деятельности, а именно склонение, вербовку</w:t>
      </w:r>
      <w:r>
        <w:rPr>
          <w:rFonts w:ascii="Times New Roman" w:hAnsi="Times New Roman"/>
          <w:color w:val="000000"/>
          <w:sz w:val="27"/>
        </w:rPr>
        <w:t xml:space="preserve">                           </w:t>
      </w:r>
      <w:r>
        <w:rPr>
          <w:rFonts w:ascii="Times New Roman" w:hAnsi="Times New Roman"/>
          <w:color w:val="000000"/>
          <w:sz w:val="27"/>
        </w:rPr>
        <w:t xml:space="preserve"> или иное вовлечение лица в совершение хотя бы одного из преступлений, предусмотренных данной статьей, вооружение или подготовка лица в целях совершения указанных преступлений, а равно финансирование диверсии.</w:t>
      </w:r>
    </w:p>
    <w:p w14:paraId="1D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Такие действия наказываются на срок от 8 до 15 лет лишения свободы, или пожизненным лишением свободы.</w:t>
      </w:r>
    </w:p>
    <w:p w14:paraId="1E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Если они совершены с использованием служебного положения – 10 до 20 лет лишения свободы или пожизненным лишением свободы.</w:t>
      </w:r>
    </w:p>
    <w:p w14:paraId="1F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Пособничество в совершении хотя бы одного из преступлений, перечисленных в ст. 281 УК РФ, наказывается лишением свободы на срок </w:t>
      </w:r>
      <w:r>
        <w:rPr>
          <w:rFonts w:ascii="Times New Roman" w:hAnsi="Times New Roman"/>
          <w:color w:val="000000"/>
          <w:sz w:val="27"/>
        </w:rPr>
        <w:t xml:space="preserve">                         </w:t>
      </w:r>
      <w:r>
        <w:rPr>
          <w:rFonts w:ascii="Times New Roman" w:hAnsi="Times New Roman"/>
          <w:color w:val="000000"/>
          <w:sz w:val="27"/>
        </w:rPr>
        <w:t>от 10 до 20 лет.</w:t>
      </w:r>
    </w:p>
    <w:p w14:paraId="20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За организацию совершения противоправных деяний, предусмотренных</w:t>
      </w:r>
      <w:r>
        <w:rPr>
          <w:rFonts w:ascii="Times New Roman" w:hAnsi="Times New Roman"/>
          <w:color w:val="000000"/>
          <w:sz w:val="27"/>
        </w:rPr>
        <w:t xml:space="preserve">   </w:t>
      </w:r>
      <w:r>
        <w:rPr>
          <w:rFonts w:ascii="Times New Roman" w:hAnsi="Times New Roman"/>
          <w:color w:val="000000"/>
          <w:sz w:val="27"/>
        </w:rPr>
        <w:t xml:space="preserve"> ст. 281 УК РФ, или руководство их совершением, а равно организацию финансирования диверсии или руководство реализацией преступного умысла, </w:t>
      </w:r>
      <w:r>
        <w:rPr>
          <w:rFonts w:ascii="Times New Roman" w:hAnsi="Times New Roman"/>
          <w:color w:val="000000"/>
          <w:sz w:val="27"/>
        </w:rPr>
        <w:t xml:space="preserve">                     </w:t>
      </w:r>
      <w:r>
        <w:rPr>
          <w:rFonts w:ascii="Times New Roman" w:hAnsi="Times New Roman"/>
          <w:color w:val="000000"/>
          <w:sz w:val="27"/>
        </w:rPr>
        <w:t>а равно финансирование диверсии предусмотрено наказание в виде лишения свободы сроком от 15 до 20 лет либо пожизненное лишение свободы.</w:t>
      </w:r>
    </w:p>
    <w:p w14:paraId="21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Прохождение лицом обучения, заведомо для обучающегося проводимого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color w:val="000000"/>
          <w:sz w:val="27"/>
        </w:rPr>
        <w:t xml:space="preserve"> в целях осуществления диверсионной деятельности либо совершение хотя бы одного из преступлений, предусмотренных ст. 281 УК РФ, квалифицируется </w:t>
      </w:r>
      <w:r>
        <w:rPr>
          <w:rFonts w:ascii="Times New Roman" w:hAnsi="Times New Roman"/>
          <w:color w:val="000000"/>
          <w:sz w:val="27"/>
        </w:rPr>
        <w:t xml:space="preserve">                         </w:t>
      </w:r>
      <w:r>
        <w:rPr>
          <w:rFonts w:ascii="Times New Roman" w:hAnsi="Times New Roman"/>
          <w:color w:val="000000"/>
          <w:sz w:val="27"/>
        </w:rPr>
        <w:t xml:space="preserve">по ст. 281.2 УК РФ и наказывается лишением свободы на срок от 15 до 20 лет </w:t>
      </w:r>
      <w:r>
        <w:rPr>
          <w:rFonts w:ascii="Times New Roman" w:hAnsi="Times New Roman"/>
          <w:color w:val="000000"/>
          <w:sz w:val="27"/>
        </w:rPr>
        <w:t xml:space="preserve">                    </w:t>
      </w:r>
      <w:r>
        <w:rPr>
          <w:rFonts w:ascii="Times New Roman" w:hAnsi="Times New Roman"/>
          <w:color w:val="000000"/>
          <w:sz w:val="27"/>
        </w:rPr>
        <w:t>или пожизненным лишением свободы.</w:t>
      </w:r>
    </w:p>
    <w:p w14:paraId="22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Обучением признается, в том числе, приобретение знаний, практических умений и навыков в ходе занятий по физической и психологической подготовке, при изучении способов совершения диверсионных преступлений, правил обращения с оружием, взрывными устройствами, взрывчатками, а также иными веществами и предметами, представляющими опасность для окружающих.</w:t>
      </w:r>
    </w:p>
    <w:p w14:paraId="23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Состав преступления по ст. 281.3 УК РФ предусматривает ответственность за организацию диверсионного сообщества и участие в нём.</w:t>
      </w:r>
    </w:p>
    <w:p w14:paraId="24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Диверсионное сообщество – устойчивая группа людей, заранее объединившихся в целях осуществления диверсионной деятельности либо</w:t>
      </w:r>
      <w:r>
        <w:rPr>
          <w:rFonts w:ascii="Times New Roman" w:hAnsi="Times New Roman"/>
          <w:color w:val="000000"/>
          <w:sz w:val="27"/>
        </w:rPr>
        <w:t xml:space="preserve">                         </w:t>
      </w:r>
      <w:r>
        <w:rPr>
          <w:rFonts w:ascii="Times New Roman" w:hAnsi="Times New Roman"/>
          <w:color w:val="000000"/>
          <w:sz w:val="27"/>
        </w:rPr>
        <w:t xml:space="preserve"> для подготовки или совершения </w:t>
      </w:r>
      <w:r>
        <w:rPr>
          <w:rFonts w:ascii="Times New Roman" w:hAnsi="Times New Roman"/>
          <w:color w:val="000000"/>
          <w:sz w:val="27"/>
        </w:rPr>
        <w:t>одного</w:t>
      </w:r>
      <w:r>
        <w:rPr>
          <w:rFonts w:ascii="Times New Roman" w:hAnsi="Times New Roman"/>
          <w:color w:val="000000"/>
          <w:sz w:val="27"/>
        </w:rPr>
        <w:t xml:space="preserve"> или нескольких преступлений индивидуальной направленности, а также иных преступлений в целях пропаганды, оправдания поддержки диверсии.</w:t>
      </w:r>
    </w:p>
    <w:p w14:paraId="25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>Создание такого сообщества, а равно руководство его структурными подразделениями влечёт наказание в виде лишения свободы сроком от 15 до 20 лет или пожизненно.</w:t>
      </w:r>
    </w:p>
    <w:p w14:paraId="26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Участие в диверсионном сообществе также является преступлением, которое предусмотрено ч. 2 ст. 281. 3 УК РФ и наказывается лишением свободы </w:t>
      </w:r>
      <w:r>
        <w:rPr>
          <w:rFonts w:ascii="Times New Roman" w:hAnsi="Times New Roman"/>
          <w:color w:val="000000"/>
          <w:sz w:val="27"/>
        </w:rPr>
        <w:t xml:space="preserve">                   </w:t>
      </w:r>
      <w:bookmarkStart w:id="1" w:name="_GoBack"/>
      <w:bookmarkEnd w:id="1"/>
      <w:r>
        <w:rPr>
          <w:rFonts w:ascii="Times New Roman" w:hAnsi="Times New Roman"/>
          <w:color w:val="000000"/>
          <w:sz w:val="27"/>
        </w:rPr>
        <w:t>от 5 10 лет лишения свободы.</w:t>
      </w:r>
    </w:p>
    <w:p w14:paraId="27010000">
      <w:pPr>
        <w:widowControl w:val="1"/>
        <w:spacing w:after="0" w:line="240" w:lineRule="auto"/>
        <w:ind w:firstLine="992" w:left="-284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Лицо, совершившее преступление согласно одной из вышеперечисленных статей, в случае сообщения органам власти о совершенном преступлении, </w:t>
      </w:r>
      <w:r>
        <w:rPr>
          <w:rFonts w:ascii="Times New Roman" w:hAnsi="Times New Roman"/>
          <w:color w:val="000000"/>
          <w:sz w:val="27"/>
        </w:rPr>
        <w:t>способствовании его пресечению и раскрытию освобождается от уголовной ответственности (примечание к </w:t>
      </w:r>
      <w:r>
        <w:rPr>
          <w:rFonts w:ascii="Times New Roman" w:hAnsi="Times New Roman"/>
          <w:color w:val="000000"/>
          <w:sz w:val="27"/>
        </w:rPr>
        <w:t>ст.ст</w:t>
      </w:r>
      <w:r>
        <w:rPr>
          <w:rFonts w:ascii="Times New Roman" w:hAnsi="Times New Roman"/>
          <w:color w:val="000000"/>
          <w:sz w:val="27"/>
        </w:rPr>
        <w:t>. 281.1-281.3 УК РФ).</w:t>
      </w:r>
    </w:p>
    <w:p w14:paraId="2801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" w:type="paragraph">
    <w:name w:val="Normal (Web)"/>
    <w:basedOn w:val="Style_2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2_ch"/>
    <w:link w:val="Style_1"/>
    <w:rPr>
      <w:rFonts w:ascii="Times New Roman" w:hAnsi="Times New Roman"/>
      <w:sz w:val="24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2025-12-22T06:23:19Z</dcterms:created>
  <dcterms:modified xsi:type="dcterms:W3CDTF">2025-12-22T06:37:21Z</dcterms:modified>
</cp:coreProperties>
</file>