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9525" b="952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3286125" cy="11525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58.75pt;height:90.75pt;mso-wrap-distance-left:0.00pt;mso-wrap-distance-top:0.00pt;mso-wrap-distance-right:0.00pt;mso-wrap-distance-bottom:0.00pt;" stroked="false">
                <v:path textboxrect="0,0,0,0"/>
                <v:imagedata r:id="rId8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line="360" w:lineRule="auto"/>
        <w:rPr>
          <w:rFonts w:ascii="Times New Roman" w:hAnsi="Times New Roman" w:cs="Times New Roman"/>
          <w:b/>
          <w:bCs/>
          <w:sz w:val="26"/>
          <w:szCs w:val="26"/>
          <w:highlight w:val="none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00.12</w:t>
      </w:r>
      <w:r>
        <w:rPr>
          <w:rFonts w:ascii="Times New Roman" w:hAnsi="Times New Roman" w:cs="Times New Roman"/>
          <w:b/>
          <w:sz w:val="26"/>
          <w:szCs w:val="26"/>
        </w:rPr>
        <w:t xml:space="preserve">.2024</w:t>
      </w: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</w: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</w:r>
    </w:p>
    <w:p>
      <w:pPr>
        <w:jc w:val="center"/>
        <w:spacing w:line="360" w:lineRule="auto"/>
        <w:rPr>
          <w:rFonts w:ascii="Times New Roman" w:hAnsi="Times New Roman" w:cs="Times New Roman"/>
          <w:b/>
          <w:bCs/>
          <w:sz w:val="27"/>
          <w:szCs w:val="27"/>
          <w:highlight w:val="none"/>
          <w14:ligatures w14:val="none"/>
        </w:rPr>
      </w:pPr>
      <w:r>
        <w:rPr>
          <w:rFonts w:ascii="Times New Roman" w:hAnsi="Times New Roman" w:cs="Times New Roman"/>
          <w:b/>
          <w:bCs/>
          <w:sz w:val="27"/>
          <w:szCs w:val="27"/>
          <w:highlight w:val="none"/>
        </w:rPr>
      </w:r>
      <w:r>
        <w:rPr>
          <w:rFonts w:ascii="Times New Roman" w:hAnsi="Times New Roman" w:cs="Times New Roman"/>
          <w:b/>
          <w:bCs/>
          <w:sz w:val="27"/>
          <w:szCs w:val="27"/>
          <w:highlight w:val="none"/>
        </w:rPr>
        <w:t xml:space="preserve">Спорт как средство сотрудничества</w:t>
      </w:r>
      <w:r>
        <w:rPr>
          <w:rFonts w:ascii="Times New Roman" w:hAnsi="Times New Roman" w:cs="Times New Roman"/>
          <w:b/>
          <w:bCs/>
          <w:sz w:val="27"/>
          <w:szCs w:val="27"/>
          <w:highlight w:val="none"/>
          <w14:ligatures w14:val="none"/>
        </w:rPr>
      </w:r>
      <w:r>
        <w:rPr>
          <w:rFonts w:ascii="Times New Roman" w:hAnsi="Times New Roman" w:cs="Times New Roman"/>
          <w:b/>
          <w:bCs/>
          <w:sz w:val="27"/>
          <w:szCs w:val="27"/>
          <w:highlight w:val="none"/>
          <w14:ligatures w14:val="none"/>
        </w:rPr>
      </w:r>
    </w:p>
    <w:p>
      <w:pPr>
        <w:jc w:val="both"/>
        <w:spacing w:line="36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 </w:t>
      </w:r>
      <w:r>
        <w:rPr>
          <w:rFonts w:ascii="Times New Roman" w:hAnsi="Times New Roman" w:cs="Times New Roman"/>
          <w:sz w:val="27"/>
          <w:szCs w:val="27"/>
        </w:rPr>
        <w:t xml:space="preserve">Команда самарского Росреестра приняла участие в ответном товарищеском матче </w:t>
      </w:r>
      <w:r>
        <w:rPr>
          <w:rFonts w:ascii="Times New Roman" w:hAnsi="Times New Roman" w:cs="Times New Roman"/>
          <w:sz w:val="27"/>
          <w:szCs w:val="27"/>
        </w:rPr>
        <w:t xml:space="preserve">по настольному теннису</w:t>
      </w:r>
      <w:r>
        <w:rPr>
          <w:rFonts w:ascii="Times New Roman" w:hAnsi="Times New Roman" w:cs="Times New Roman"/>
          <w:sz w:val="27"/>
          <w:szCs w:val="27"/>
        </w:rPr>
        <w:t xml:space="preserve"> с командой Межрайонной </w:t>
      </w:r>
      <w:r>
        <w:rPr>
          <w:rFonts w:ascii="Times New Roman" w:hAnsi="Times New Roman" w:cs="Times New Roman"/>
          <w:sz w:val="27"/>
          <w:szCs w:val="27"/>
        </w:rPr>
        <w:t xml:space="preserve">инспекци</w:t>
      </w:r>
      <w:r>
        <w:rPr>
          <w:rFonts w:ascii="Times New Roman" w:hAnsi="Times New Roman" w:cs="Times New Roman"/>
          <w:sz w:val="27"/>
          <w:szCs w:val="27"/>
        </w:rPr>
        <w:t xml:space="preserve">и </w:t>
      </w:r>
      <w:r>
        <w:rPr>
          <w:rFonts w:ascii="Times New Roman" w:hAnsi="Times New Roman" w:cs="Times New Roman"/>
          <w:sz w:val="27"/>
          <w:szCs w:val="27"/>
        </w:rPr>
        <w:t xml:space="preserve">федеральной налоговой службы</w:t>
      </w:r>
      <w:r>
        <w:rPr>
          <w:rFonts w:ascii="Times New Roman" w:hAnsi="Times New Roman" w:cs="Times New Roman"/>
          <w:sz w:val="27"/>
          <w:szCs w:val="27"/>
        </w:rPr>
        <w:t xml:space="preserve"> России №22</w:t>
      </w:r>
      <w:r>
        <w:rPr>
          <w:rFonts w:ascii="Times New Roman" w:hAnsi="Times New Roman" w:cs="Times New Roman"/>
          <w:sz w:val="27"/>
          <w:szCs w:val="27"/>
        </w:rPr>
        <w:t xml:space="preserve"> по Самарской области</w:t>
      </w:r>
      <w:r>
        <w:rPr>
          <w:rFonts w:ascii="Times New Roman" w:hAnsi="Times New Roman" w:cs="Times New Roman"/>
          <w:sz w:val="27"/>
          <w:szCs w:val="27"/>
        </w:rPr>
        <w:t xml:space="preserve">. </w:t>
      </w:r>
      <w:r>
        <w:rPr>
          <w:rFonts w:ascii="Times New Roman" w:hAnsi="Times New Roman" w:cs="Times New Roman"/>
          <w:sz w:val="27"/>
          <w:szCs w:val="27"/>
        </w:rPr>
        <w:t xml:space="preserve">Межведомственный турнир был организован членами молодежных советов и </w:t>
      </w:r>
      <w:r>
        <w:rPr>
          <w:rFonts w:ascii="Times New Roman" w:hAnsi="Times New Roman" w:cs="Times New Roman"/>
          <w:sz w:val="27"/>
          <w:szCs w:val="27"/>
        </w:rPr>
        <w:t xml:space="preserve">первичных </w:t>
      </w:r>
      <w:r>
        <w:rPr>
          <w:rFonts w:ascii="Times New Roman" w:hAnsi="Times New Roman" w:cs="Times New Roman"/>
          <w:sz w:val="27"/>
          <w:szCs w:val="27"/>
        </w:rPr>
        <w:t xml:space="preserve">профсоюз</w:t>
      </w:r>
      <w:r>
        <w:rPr>
          <w:rFonts w:ascii="Times New Roman" w:hAnsi="Times New Roman" w:cs="Times New Roman"/>
          <w:sz w:val="27"/>
          <w:szCs w:val="27"/>
        </w:rPr>
        <w:t xml:space="preserve">ных</w:t>
      </w:r>
      <w:r>
        <w:rPr>
          <w:rFonts w:ascii="Times New Roman" w:hAnsi="Times New Roman" w:cs="Times New Roman"/>
          <w:sz w:val="27"/>
          <w:szCs w:val="27"/>
        </w:rPr>
        <w:t xml:space="preserve"> организаций</w:t>
      </w:r>
      <w:r>
        <w:rPr>
          <w:rFonts w:ascii="Times New Roman" w:hAnsi="Times New Roman" w:cs="Times New Roman"/>
          <w:sz w:val="27"/>
          <w:szCs w:val="27"/>
        </w:rPr>
        <w:t xml:space="preserve">. 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jc w:val="both"/>
        <w:spacing w:line="36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 </w:t>
      </w:r>
      <w:r>
        <w:rPr>
          <w:rFonts w:ascii="Times New Roman" w:hAnsi="Times New Roman" w:cs="Times New Roman"/>
          <w:sz w:val="27"/>
          <w:szCs w:val="27"/>
        </w:rPr>
        <w:t xml:space="preserve">Ответная встреча прошла спустя полгода после летних соревнований. На протяжении этого времени обе команды тренировались, чтобы показать в игре свои лучшие качества. 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ind w:firstLine="708"/>
        <w:spacing w:line="360" w:lineRule="auto"/>
        <w:rPr>
          <w:rFonts w:ascii="Tinos" w:hAnsi="Tinos" w:eastAsia="Tinos" w:cs="Tinos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 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nos" w:hAnsi="Tinos" w:eastAsia="Tinos" w:cs="Tinos"/>
          <w:sz w:val="28"/>
          <w:szCs w:val="28"/>
          <w:highlight w:val="none"/>
        </w:rPr>
        <w:t xml:space="preserve">По результатом поединка победителем стал </w:t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  <w:t xml:space="preserve">Валерий Мишин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, ведущий специалист-эксперт отдела регистрации объектов недвижимости жилого назначения Управления Росреестра по Самарской области.</w:t>
      </w: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</w: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/>
      <w:r>
        <w:rPr>
          <w:rFonts w:ascii="Tinos" w:hAnsi="Tinos" w:eastAsia="Tinos" w:cs="Tinos"/>
          <w:sz w:val="28"/>
          <w:szCs w:val="28"/>
          <w:highlight w:val="none"/>
          <w14:ligatures w14:val="none"/>
        </w:rPr>
      </w:r>
    </w:p>
    <w:p>
      <w:pPr>
        <w:jc w:val="both"/>
        <w:spacing w:line="360" w:lineRule="auto"/>
        <w:rPr>
          <w:rFonts w:ascii="Tinos" w:hAnsi="Tinos" w:cs="Tinos"/>
          <w:bCs/>
          <w:i/>
          <w:sz w:val="28"/>
          <w:szCs w:val="28"/>
          <w:highlight w:val="none"/>
        </w:rPr>
      </w:pPr>
      <w:r>
        <w:rPr>
          <w:rFonts w:ascii="Times New Roman" w:hAnsi="Times New Roman" w:cs="Times New Roman"/>
          <w:i/>
          <w:sz w:val="27"/>
          <w:szCs w:val="27"/>
        </w:rPr>
        <w:t xml:space="preserve">         </w:t>
      </w:r>
      <w:r>
        <w:rPr>
          <w:rFonts w:ascii="Tinos" w:hAnsi="Tinos" w:eastAsia="Tinos" w:cs="Tinos"/>
          <w:i/>
          <w:sz w:val="28"/>
          <w:szCs w:val="28"/>
        </w:rPr>
        <w:t xml:space="preserve"> </w:t>
      </w:r>
      <w:r>
        <w:rPr>
          <w:rFonts w:ascii="Tinos" w:hAnsi="Tinos" w:eastAsia="Tinos" w:cs="Tinos"/>
          <w:i/>
          <w:iCs/>
          <w:sz w:val="28"/>
          <w:szCs w:val="28"/>
        </w:rPr>
        <w:t xml:space="preserve">«</w:t>
      </w:r>
      <w:r>
        <w:rPr>
          <w:rFonts w:ascii="Tinos" w:hAnsi="Tinos" w:eastAsia="Tinos" w:cs="Tinos"/>
          <w:i/>
          <w:sz w:val="28"/>
          <w:szCs w:val="28"/>
        </w:rPr>
        <w:t xml:space="preserve">Отрадно, что наши межведомственные турниры</w:t>
      </w:r>
      <w:r>
        <w:rPr>
          <w:rFonts w:ascii="Tinos" w:hAnsi="Tinos" w:eastAsia="Tinos" w:cs="Tinos"/>
          <w:i/>
          <w:sz w:val="28"/>
          <w:szCs w:val="28"/>
        </w:rPr>
        <w:t xml:space="preserve"> стали традиционными. </w:t>
      </w:r>
      <w:r>
        <w:rPr>
          <w:rFonts w:ascii="Tinos" w:hAnsi="Tinos" w:eastAsia="Tinos" w:cs="Tinos"/>
          <w:i/>
          <w:sz w:val="28"/>
          <w:szCs w:val="28"/>
          <w:highlight w:val="white"/>
        </w:rPr>
        <w:t xml:space="preserve">Они укрепляют не только внутрикорпоративный дух, но и оказывают положительное влияния на межведомственное взаимодействие, </w:t>
      </w:r>
      <w:r>
        <w:rPr>
          <w:rFonts w:ascii="Tinos" w:hAnsi="Tinos" w:eastAsia="Tinos" w:cs="Tinos"/>
          <w:i/>
          <w:iCs/>
          <w:color w:val="000000"/>
          <w:sz w:val="28"/>
          <w:szCs w:val="28"/>
          <w:highlight w:val="white"/>
        </w:rPr>
        <w:t xml:space="preserve">- </w:t>
      </w:r>
      <w:r>
        <w:rPr>
          <w:rFonts w:ascii="Tinos" w:hAnsi="Tinos" w:eastAsia="Tinos" w:cs="Tinos"/>
          <w:i w:val="0"/>
          <w:iCs w:val="0"/>
          <w:color w:val="000000"/>
          <w:sz w:val="28"/>
          <w:szCs w:val="28"/>
          <w:highlight w:val="none"/>
        </w:rPr>
        <w:t xml:space="preserve">отмечает</w:t>
      </w:r>
      <w:r>
        <w:rPr>
          <w:rFonts w:ascii="Tinos" w:hAnsi="Tinos" w:eastAsia="Tinos" w:cs="Tinos"/>
          <w:i w:val="0"/>
          <w:iCs w:val="0"/>
          <w:sz w:val="28"/>
          <w:szCs w:val="28"/>
        </w:rPr>
        <w:t xml:space="preserve"> </w:t>
      </w:r>
      <w:r>
        <w:rPr>
          <w:rFonts w:ascii="Tinos" w:hAnsi="Tinos" w:eastAsia="Tinos" w:cs="Tinos"/>
          <w:sz w:val="28"/>
          <w:szCs w:val="28"/>
        </w:rPr>
        <w:t xml:space="preserve">председатель первичной профсоюзной организации</w:t>
      </w:r>
      <w:r>
        <w:rPr>
          <w:rFonts w:ascii="Tinos" w:hAnsi="Tinos" w:eastAsia="Tinos" w:cs="Tinos"/>
          <w:sz w:val="28"/>
          <w:szCs w:val="28"/>
        </w:rPr>
        <w:t xml:space="preserve"> </w:t>
      </w:r>
      <w:r>
        <w:rPr>
          <w:rFonts w:ascii="Tinos" w:hAnsi="Tinos" w:eastAsia="Tinos" w:cs="Tinos"/>
          <w:sz w:val="28"/>
          <w:szCs w:val="28"/>
        </w:rPr>
        <w:t xml:space="preserve">Управления </w:t>
      </w:r>
      <w:r>
        <w:rPr>
          <w:rFonts w:ascii="Tinos" w:hAnsi="Tinos" w:eastAsia="Tinos" w:cs="Tinos"/>
          <w:sz w:val="28"/>
          <w:szCs w:val="28"/>
        </w:rPr>
        <w:t xml:space="preserve">Росреестра </w:t>
      </w:r>
      <w:r>
        <w:rPr>
          <w:rFonts w:ascii="Tinos" w:hAnsi="Tinos" w:eastAsia="Tinos" w:cs="Tinos"/>
          <w:sz w:val="28"/>
          <w:szCs w:val="28"/>
        </w:rPr>
        <w:t xml:space="preserve">по Самарской области</w:t>
      </w:r>
      <w:r>
        <w:rPr>
          <w:rFonts w:ascii="Tinos" w:hAnsi="Tinos" w:eastAsia="Tinos" w:cs="Tinos"/>
          <w:sz w:val="28"/>
          <w:szCs w:val="28"/>
        </w:rPr>
        <w:t xml:space="preserve"> </w:t>
      </w:r>
      <w:r>
        <w:rPr>
          <w:rFonts w:ascii="Tinos" w:hAnsi="Tinos" w:eastAsia="Tinos" w:cs="Tinos"/>
          <w:b/>
          <w:sz w:val="28"/>
          <w:szCs w:val="28"/>
        </w:rPr>
        <w:t xml:space="preserve">Константин Минин</w:t>
      </w:r>
      <w:r>
        <w:rPr>
          <w:rFonts w:ascii="Tinos" w:hAnsi="Tinos" w:eastAsia="Tinos" w:cs="Tinos"/>
          <w:sz w:val="28"/>
          <w:szCs w:val="28"/>
        </w:rPr>
        <w:t xml:space="preserve">. - </w:t>
      </w:r>
      <w:r>
        <w:rPr>
          <w:rFonts w:ascii="Tinos" w:hAnsi="Tinos" w:eastAsia="Tinos" w:cs="Tinos"/>
          <w:i/>
          <w:iCs/>
          <w:color w:val="000000"/>
          <w:sz w:val="28"/>
          <w:szCs w:val="28"/>
          <w:highlight w:val="white"/>
        </w:rPr>
        <w:t xml:space="preserve">Выражаем благодарность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Межрайонной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инспекци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и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федеральной налоговой службы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России №22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по Самарской области</w:t>
      </w:r>
      <w:r>
        <w:rPr>
          <w:rFonts w:ascii="Tinos" w:hAnsi="Tinos" w:eastAsia="Tinos" w:cs="Tinos"/>
          <w:i/>
          <w:iCs/>
          <w:color w:val="000000"/>
          <w:sz w:val="28"/>
          <w:szCs w:val="28"/>
          <w:highlight w:val="white"/>
        </w:rPr>
        <w:t xml:space="preserve"> за прием, организацию  и предоставление площадки для проведения мероприяти</w:t>
      </w:r>
      <w:r>
        <w:rPr>
          <w:rFonts w:ascii="Tinos" w:hAnsi="Tinos" w:eastAsia="Tinos" w:cs="Tinos"/>
          <w:i/>
          <w:iCs/>
          <w:color w:val="000000"/>
          <w:sz w:val="28"/>
          <w:szCs w:val="28"/>
          <w:highlight w:val="white"/>
        </w:rPr>
        <w:t xml:space="preserve">я. </w:t>
      </w:r>
      <w:r>
        <w:rPr>
          <w:rFonts w:ascii="Tinos" w:hAnsi="Tinos" w:eastAsia="Tinos" w:cs="Tinos"/>
          <w:i/>
          <w:iCs/>
          <w:color w:val="000000"/>
          <w:sz w:val="28"/>
          <w:szCs w:val="28"/>
          <w:highlight w:val="white"/>
        </w:rPr>
        <w:t xml:space="preserve">От всего сердца поздравляем победителей! Всем участникам желаем дальнейших успехов в спорте и профессиональной деятельности. Надеемся на продолжение нашей спортивной дружбы!</w:t>
      </w:r>
      <w:r>
        <w:rPr>
          <w:rFonts w:ascii="Tinos" w:hAnsi="Tinos" w:eastAsia="Tinos" w:cs="Tinos"/>
          <w:i/>
          <w:sz w:val="28"/>
          <w:szCs w:val="28"/>
        </w:rPr>
        <w:t xml:space="preserve">»</w:t>
      </w:r>
      <w:r>
        <w:rPr>
          <w:rFonts w:ascii="Tinos" w:hAnsi="Tinos" w:cs="Tinos"/>
          <w:bCs/>
          <w:i/>
          <w:sz w:val="28"/>
          <w:szCs w:val="28"/>
          <w:highlight w:val="none"/>
        </w:rPr>
      </w:r>
      <w:r>
        <w:rPr>
          <w:rFonts w:ascii="Tinos" w:hAnsi="Tinos" w:cs="Tinos"/>
          <w:bCs/>
          <w:i/>
          <w:sz w:val="28"/>
          <w:szCs w:val="28"/>
          <w:highlight w:val="none"/>
        </w:rPr>
      </w:r>
    </w:p>
    <w:p>
      <w:pPr>
        <w:jc w:val="both"/>
        <w:spacing w:line="36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96635" cy="18415"/>
                <wp:effectExtent l="0" t="0" r="0" b="63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6096635" cy="184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80.05pt;height:1.45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7"/>
          <w:szCs w:val="27"/>
        </w:rPr>
        <w:t xml:space="preserve">Материал подготовлен Управлением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line="36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Росреестра по Самарской области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2"/>
    <w:next w:val="832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3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2"/>
    <w:next w:val="832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3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2"/>
    <w:next w:val="832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3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3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3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3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3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3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3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2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basedOn w:val="833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3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basedOn w:val="833"/>
    <w:link w:val="682"/>
    <w:uiPriority w:val="99"/>
  </w:style>
  <w:style w:type="paragraph" w:styleId="684">
    <w:name w:val="Footer"/>
    <w:basedOn w:val="832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basedOn w:val="833"/>
    <w:link w:val="684"/>
    <w:uiPriority w:val="99"/>
  </w:style>
  <w:style w:type="paragraph" w:styleId="686">
    <w:name w:val="Caption"/>
    <w:basedOn w:val="832"/>
    <w:next w:val="83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"/>
    <w:basedOn w:val="83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8">
    <w:name w:val="List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2">
    <w:name w:val="List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3">
    <w:name w:val="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5">
    <w:name w:val="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9">
    <w:name w:val="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Bordered &amp; 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Bordered &amp; 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basedOn w:val="833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basedOn w:val="833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qFormat/>
  </w:style>
  <w:style w:type="character" w:styleId="833" w:default="1">
    <w:name w:val="Default Paragraph Font"/>
    <w:uiPriority w:val="1"/>
    <w:semiHidden/>
    <w:unhideWhenUsed/>
  </w:style>
  <w:style w:type="table" w:styleId="8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5" w:default="1">
    <w:name w:val="No List"/>
    <w:uiPriority w:val="99"/>
    <w:semiHidden/>
    <w:unhideWhenUsed/>
  </w:style>
  <w:style w:type="paragraph" w:styleId="836">
    <w:name w:val="Balloon Text"/>
    <w:basedOn w:val="832"/>
    <w:link w:val="83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7" w:customStyle="1">
    <w:name w:val="Текст выноски Знак"/>
    <w:basedOn w:val="833"/>
    <w:link w:val="836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reg.samregistr.ru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Насырова Лилия Ринатовна</dc:creator>
  <cp:keywords/>
  <dc:description/>
  <cp:revision>12</cp:revision>
  <dcterms:created xsi:type="dcterms:W3CDTF">2024-07-24T11:24:00Z</dcterms:created>
  <dcterms:modified xsi:type="dcterms:W3CDTF">2024-12-17T07:42:03Z</dcterms:modified>
</cp:coreProperties>
</file>