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</w:rPr>
      </w:pPr>
      <w:bookmarkStart w:id="0" w:name="_GoBack"/>
      <w:bookmarkEnd w:id="0"/>
      <w:r>
        <w:rPr>
          <w:b w:val="0"/>
          <w:noProof/>
          <w:sz w:val="28"/>
          <w:szCs w:val="28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</w:rPr>
      </w:pPr>
    </w:p>
    <w:p>
      <w:pPr>
        <w:spacing w:after="0" w:line="259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>
      <w:pPr>
        <w:spacing w:after="0" w:line="259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 марта 2022</w:t>
      </w:r>
    </w:p>
    <w:p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</w:rPr>
      </w:pPr>
    </w:p>
    <w:p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rStyle w:val="a7"/>
          <w:sz w:val="28"/>
          <w:szCs w:val="28"/>
        </w:rPr>
      </w:pPr>
      <w:r>
        <w:rPr>
          <w:rStyle w:val="a7"/>
          <w:b/>
          <w:sz w:val="28"/>
          <w:szCs w:val="28"/>
        </w:rPr>
        <w:t>Владельцам земельных участков надо внести в ЕГРН вид разрешенного использования</w:t>
      </w:r>
    </w:p>
    <w:p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 этом году у владельцев земельных участков появилась обязанность внести в Единый государственный реестр недвижимости (ЕГРН) сведения об основном или условно разрешенном видах разрешенного использования, которые должны соответствовать фактическому использованию земли. В противном случае собственников могут привлечь к административной ответственности, сообщает Управление Росреестра по Самарской области.</w:t>
      </w:r>
    </w:p>
    <w:p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Основной вид разрешенного использования выбирается собственником самостоятельно, в строгом соответствии с Правилами землепользования и застройки (ПЗЗ) конкретного муниципального образования и если иным законом не запрещается использовать этот земельный участок в соответствии с выбираемым видом. (Например, законом о садоводческих товариществах запрещено менять вид разрешенного использования отдельным садовым участкам, расположенным в границах садового товарищества). </w:t>
      </w:r>
    </w:p>
    <w:p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Допустимо выбрать условно разрешенный вид, но в этом случае необходимо провести публичные слушания. Свой выбор необходимо зафиксировать в ЕГРН. При этом если раньше по желанию владельца вносились также сведения о вспомогательных видах разрешенного использования, то теперь этого не требуется. Вместе с тем допускается использование такого земельного участка в соответствии с предусмотренным градостроительным регламентом любым вспомогательным видом. </w:t>
      </w:r>
    </w:p>
    <w:p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>-</w:t>
      </w:r>
      <w:r>
        <w:rPr>
          <w:rStyle w:val="a7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случае, если в Едином государственном реестре недвижимости отсутствуют сведения о виде разрешенного использования земельного участка, выбранным считается вид разрешенного использования, указанный в правоустанавливающем или в правоудостоверяющем документе на данный земельный участок, выданном до 31 января 1998 года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говорит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Самарский Росреестр призывает граждан проверить документы на землю и убедиться, что указанный в ЕГРН вид разрешенного использования соответствует фактическому использованию земельного участка. В случае необходимости стоит привести документы в порядок – обратиться через любой многофункциональный центр в регистрирующий орган с заявлением об уточнении вида разрешенного использования. Данная услуга оказывается бесплатно. </w:t>
      </w:r>
    </w:p>
    <w:p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внесенный в ЕГРН вид разрешенного использования земельного участка не будет соответствовать его фактическому использованию, владельцу грозит штраф в размере 0,5% кадастровой стоимости объекта недвижимости, но не менее 10 тысяч рублей. </w:t>
      </w:r>
    </w:p>
    <w:p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Принцип земельного права: правовой режим земель определяется исходя из их принадлежности к определенной категории и разрешенного использования. Соответственно и использоваться земельный участок должен по определенному назначению. Это необходимо в том числе для сохранения ценных территорий (например, сельскохозяйственных земель, земель лесного и водного фонда), а также для охраны окружающей среды,</w:t>
      </w:r>
      <w:r>
        <w:rPr>
          <w:rFonts w:ascii="Times New Roman" w:hAnsi="Times New Roman" w:cs="Times New Roman"/>
          <w:sz w:val="28"/>
          <w:szCs w:val="28"/>
        </w:rPr>
        <w:t xml:space="preserve"> - подчеркнула Ольга Суздальцева. </w:t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>
      <w:pPr>
        <w:spacing w:after="0" w:line="240" w:lineRule="auto"/>
        <w:rPr>
          <w:b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9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sectPr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631465"/>
      <w:docPartObj>
        <w:docPartGallery w:val="Page Numbers (Top of Page)"/>
        <w:docPartUnique/>
      </w:docPartObj>
    </w:sdtPr>
    <w:sdtContent>
      <w:p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002"/>
    <w:multiLevelType w:val="multilevel"/>
    <w:tmpl w:val="5F0E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42606"/>
    <w:multiLevelType w:val="multilevel"/>
    <w:tmpl w:val="EDDA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45FDA"/>
    <w:multiLevelType w:val="multilevel"/>
    <w:tmpl w:val="13C8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B2643"/>
    <w:multiLevelType w:val="multilevel"/>
    <w:tmpl w:val="287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807A6"/>
    <w:multiLevelType w:val="multilevel"/>
    <w:tmpl w:val="3F62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44E34"/>
    <w:multiLevelType w:val="multilevel"/>
    <w:tmpl w:val="A86E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174E5"/>
    <w:multiLevelType w:val="multilevel"/>
    <w:tmpl w:val="6D54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161F6"/>
    <w:multiLevelType w:val="multilevel"/>
    <w:tmpl w:val="DC86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E0DBF"/>
    <w:multiLevelType w:val="multilevel"/>
    <w:tmpl w:val="FC76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2665D"/>
    <w:multiLevelType w:val="multilevel"/>
    <w:tmpl w:val="B862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CB247E"/>
    <w:multiLevelType w:val="multilevel"/>
    <w:tmpl w:val="7B6E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7326C"/>
    <w:multiLevelType w:val="multilevel"/>
    <w:tmpl w:val="210C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D859D5"/>
    <w:multiLevelType w:val="multilevel"/>
    <w:tmpl w:val="EF3C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5E6A60"/>
    <w:multiLevelType w:val="multilevel"/>
    <w:tmpl w:val="530A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5726D"/>
    <w:multiLevelType w:val="multilevel"/>
    <w:tmpl w:val="2A06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026E2C"/>
    <w:multiLevelType w:val="multilevel"/>
    <w:tmpl w:val="D30A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21D79"/>
    <w:multiLevelType w:val="multilevel"/>
    <w:tmpl w:val="C240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AC3A75"/>
    <w:multiLevelType w:val="multilevel"/>
    <w:tmpl w:val="994A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2F665A"/>
    <w:multiLevelType w:val="multilevel"/>
    <w:tmpl w:val="C8E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226CB2"/>
    <w:multiLevelType w:val="multilevel"/>
    <w:tmpl w:val="79A4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97039"/>
    <w:multiLevelType w:val="multilevel"/>
    <w:tmpl w:val="FF5A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9A4835"/>
    <w:multiLevelType w:val="multilevel"/>
    <w:tmpl w:val="972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9F0F2D"/>
    <w:multiLevelType w:val="multilevel"/>
    <w:tmpl w:val="AAEA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6C65A0"/>
    <w:multiLevelType w:val="multilevel"/>
    <w:tmpl w:val="01E4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BA24F8"/>
    <w:multiLevelType w:val="multilevel"/>
    <w:tmpl w:val="D330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100A26"/>
    <w:multiLevelType w:val="multilevel"/>
    <w:tmpl w:val="12CC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83402F"/>
    <w:multiLevelType w:val="multilevel"/>
    <w:tmpl w:val="3896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BF1AB6"/>
    <w:multiLevelType w:val="multilevel"/>
    <w:tmpl w:val="F8C8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9F5078"/>
    <w:multiLevelType w:val="multilevel"/>
    <w:tmpl w:val="B5CC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5"/>
  </w:num>
  <w:num w:numId="5">
    <w:abstractNumId w:val="26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1"/>
  </w:num>
  <w:num w:numId="11">
    <w:abstractNumId w:val="18"/>
  </w:num>
  <w:num w:numId="12">
    <w:abstractNumId w:val="15"/>
  </w:num>
  <w:num w:numId="13">
    <w:abstractNumId w:val="7"/>
  </w:num>
  <w:num w:numId="14">
    <w:abstractNumId w:val="16"/>
  </w:num>
  <w:num w:numId="15">
    <w:abstractNumId w:val="25"/>
  </w:num>
  <w:num w:numId="16">
    <w:abstractNumId w:val="6"/>
  </w:num>
  <w:num w:numId="17">
    <w:abstractNumId w:val="22"/>
  </w:num>
  <w:num w:numId="18">
    <w:abstractNumId w:val="20"/>
  </w:num>
  <w:num w:numId="19">
    <w:abstractNumId w:val="14"/>
  </w:num>
  <w:num w:numId="20">
    <w:abstractNumId w:val="11"/>
  </w:num>
  <w:num w:numId="21">
    <w:abstractNumId w:val="24"/>
  </w:num>
  <w:num w:numId="22">
    <w:abstractNumId w:val="9"/>
  </w:num>
  <w:num w:numId="23">
    <w:abstractNumId w:val="2"/>
  </w:num>
  <w:num w:numId="24">
    <w:abstractNumId w:val="4"/>
  </w:num>
  <w:num w:numId="25">
    <w:abstractNumId w:val="27"/>
  </w:num>
  <w:num w:numId="26">
    <w:abstractNumId w:val="23"/>
  </w:num>
  <w:num w:numId="27">
    <w:abstractNumId w:val="3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BE244-CA97-49CB-ACBB-70625584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character" w:customStyle="1" w:styleId="Bodytext2">
    <w:name w:val="Body text (2)_"/>
    <w:basedOn w:val="a0"/>
    <w:link w:val="Bodytext20"/>
    <w:locked/>
    <w:rPr>
      <w:rFonts w:cs="Times New Roman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pPr>
      <w:widowControl w:val="0"/>
      <w:shd w:val="clear" w:color="auto" w:fill="FFFFFF"/>
      <w:spacing w:after="0" w:line="312" w:lineRule="exact"/>
      <w:jc w:val="both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B943-A45D-4363-B577-665BA743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 Елена Борисовна</dc:creator>
  <cp:keywords/>
  <dc:description/>
  <cp:lastModifiedBy>Мельник Надежда Анатольевна</cp:lastModifiedBy>
  <cp:revision>2</cp:revision>
  <cp:lastPrinted>2022-03-01T11:34:00Z</cp:lastPrinted>
  <dcterms:created xsi:type="dcterms:W3CDTF">2022-03-02T04:36:00Z</dcterms:created>
  <dcterms:modified xsi:type="dcterms:W3CDTF">2022-03-02T04:36:00Z</dcterms:modified>
</cp:coreProperties>
</file>