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bookmarkStart w:id="0" w:name="_GoBack"/>
      <w:bookmarkEnd w:id="0"/>
      <w:r>
        <w:rPr>
          <w:noProof/>
          <w:lang w:eastAsia="ru-RU"/>
        </w:rPr>
        <w:drawing>
          <wp:inline distT="0" distB="0" distL="0" distR="0">
            <wp:extent cx="3286125" cy="1152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86125" cy="1152525"/>
                    </a:xfrm>
                    <a:prstGeom prst="rect">
                      <a:avLst/>
                    </a:prstGeom>
                    <a:noFill/>
                  </pic:spPr>
                </pic:pic>
              </a:graphicData>
            </a:graphic>
          </wp:inline>
        </w:drawing>
      </w:r>
    </w:p>
    <w:p>
      <w:pPr>
        <w:spacing w:line="360" w:lineRule="auto"/>
        <w:jc w:val="right"/>
        <w:rPr>
          <w:rFonts w:ascii="Times New Roman" w:hAnsi="Times New Roman" w:cs="Times New Roman"/>
          <w:b/>
          <w:sz w:val="28"/>
          <w:szCs w:val="28"/>
        </w:rPr>
      </w:pPr>
      <w:r>
        <w:rPr>
          <w:rFonts w:ascii="Times New Roman" w:hAnsi="Times New Roman" w:cs="Times New Roman"/>
          <w:b/>
          <w:sz w:val="28"/>
          <w:szCs w:val="28"/>
        </w:rPr>
        <w:t>23.05.2023</w:t>
      </w:r>
    </w:p>
    <w:p>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К акции Росреестра «Сохраним геодезические пункты вместе» присоединились самарские студенты</w:t>
      </w:r>
    </w:p>
    <w:p>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Специалисты самарского Росреестра совместно со студентами колледжа Международного института рынка, обучающимися по специальности «Земельно-имущественные отношения», совершили плановый выезд для обследования пунктов геодезических сетей. </w:t>
      </w:r>
    </w:p>
    <w:p>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Качество проведения кадастровых работ зависит от состояния и сохранности пунктов государственной геодезической сети (ГГС). Результаты кадастровых работ, в свою очередь, напрямую влияют на достоверность сведений, вносимых </w:t>
      </w:r>
      <w:r>
        <w:rPr>
          <w:rFonts w:ascii="Times New Roman" w:hAnsi="Times New Roman" w:cs="Times New Roman"/>
          <w:color w:val="000000" w:themeColor="text1"/>
          <w:sz w:val="28"/>
          <w:szCs w:val="28"/>
        </w:rPr>
        <w:t>в</w:t>
      </w:r>
      <w:r>
        <w:rPr>
          <w:rFonts w:ascii="Times New Roman" w:hAnsi="Times New Roman" w:cs="Times New Roman"/>
          <w:color w:val="FF0000"/>
          <w:sz w:val="28"/>
          <w:szCs w:val="28"/>
        </w:rPr>
        <w:t xml:space="preserve"> </w:t>
      </w:r>
      <w:r>
        <w:rPr>
          <w:rFonts w:ascii="Times New Roman" w:hAnsi="Times New Roman" w:cs="Times New Roman"/>
          <w:sz w:val="28"/>
          <w:szCs w:val="28"/>
        </w:rPr>
        <w:t>Единый государственный реестр недвижимости, а значит и на степень защиты прав собственников недвижимости.</w:t>
      </w:r>
      <w:r>
        <w:t xml:space="preserve"> </w:t>
      </w:r>
      <w:r>
        <w:rPr>
          <w:rFonts w:ascii="Times New Roman" w:hAnsi="Times New Roman" w:cs="Times New Roman"/>
          <w:sz w:val="28"/>
          <w:szCs w:val="28"/>
        </w:rPr>
        <w:t xml:space="preserve">Для того, чтобы наглядно показать, что представляет собой государственная геодезическая сеть и рассказать о ее задачах и значимости, специалисты отдела государственного земельного надзора совместно с будущими коллегами обследовали два пункта ГГС: в черте города Самара в Куйбышевском районе и на открытой местности в поселке Петра Дубравы. </w:t>
      </w:r>
    </w:p>
    <w:p>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ходе выездного мероприятия ребята с интересом изучали конструкции, задавали вопросы.</w:t>
      </w:r>
    </w:p>
    <w:p>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i/>
          <w:sz w:val="28"/>
          <w:szCs w:val="28"/>
        </w:rPr>
        <w:t>Нам много рассказывали на занятиях о подобных пунктах, всегда было интересно посмотреть, как они выглядят в действительности. Если их расположение в поле или другой природной локации более-менее понятно, то как они выглядят в городе, сложно было представить. Вообще удивительно, как они сохранились в рамках динамично развивающейся инфраструктуры</w:t>
      </w:r>
      <w:r>
        <w:rPr>
          <w:rFonts w:ascii="Times New Roman" w:hAnsi="Times New Roman" w:cs="Times New Roman"/>
          <w:sz w:val="28"/>
          <w:szCs w:val="28"/>
        </w:rPr>
        <w:t xml:space="preserve">», – делится впечатлениями студентка </w:t>
      </w:r>
      <w:proofErr w:type="spellStart"/>
      <w:r>
        <w:rPr>
          <w:rFonts w:ascii="Times New Roman" w:hAnsi="Times New Roman" w:cs="Times New Roman"/>
          <w:b/>
          <w:sz w:val="28"/>
          <w:szCs w:val="28"/>
        </w:rPr>
        <w:t>Алия</w:t>
      </w:r>
      <w:proofErr w:type="spellEnd"/>
      <w:r>
        <w:rPr>
          <w:rFonts w:ascii="Times New Roman" w:hAnsi="Times New Roman" w:cs="Times New Roman"/>
          <w:sz w:val="28"/>
          <w:szCs w:val="28"/>
        </w:rPr>
        <w:t xml:space="preserve"> </w:t>
      </w:r>
      <w:proofErr w:type="spellStart"/>
      <w:r>
        <w:rPr>
          <w:rFonts w:ascii="Times New Roman" w:hAnsi="Times New Roman" w:cs="Times New Roman"/>
          <w:b/>
          <w:sz w:val="28"/>
          <w:szCs w:val="28"/>
        </w:rPr>
        <w:t>Фаирутдинова</w:t>
      </w:r>
      <w:proofErr w:type="spellEnd"/>
      <w:r>
        <w:rPr>
          <w:rFonts w:ascii="Times New Roman" w:hAnsi="Times New Roman" w:cs="Times New Roman"/>
          <w:sz w:val="28"/>
          <w:szCs w:val="28"/>
        </w:rPr>
        <w:t>.</w:t>
      </w:r>
    </w:p>
    <w:p>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Государственная геодезическая сеть, протянулась по всей территории России. Она представляет собой совокупность геодезических пунктов, расположенных равномерно по всей стране. Для того, чтобы их было легче распознать, они обозначены специальными конструкциями. Наверное, каждый из нас хоть раз обращал внимание на металлические вышки в виде пирамиды или штатива, которые можно увидеть и в поле, и в лесу, и на территории населенных пунктов. Это геодезический знак – наземное сооружение на геодезическом пункте. </w:t>
      </w:r>
    </w:p>
    <w:p>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В Самарской области 1736 пунктов ГГС.</w:t>
      </w:r>
      <w:r>
        <w:t xml:space="preserve"> </w:t>
      </w:r>
      <w:r>
        <w:rPr>
          <w:rFonts w:ascii="Times New Roman" w:hAnsi="Times New Roman" w:cs="Times New Roman"/>
          <w:sz w:val="28"/>
          <w:szCs w:val="28"/>
        </w:rPr>
        <w:t>Управление Росреестра по Самарской области постоянно проводит оценку и мониторинг пунктов ГГС. Начиная с 2021 года обследованы все пункты государственной геодезической сети. Зачастую выявляются уничтожения и повреждения объектов. Данные объекты относятся к федеральной собственности, находятся под охраной государства, и рассчитаны на использование в течение длительного времени.</w:t>
      </w:r>
    </w:p>
    <w:p>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i/>
          <w:sz w:val="28"/>
          <w:szCs w:val="28"/>
        </w:rPr>
        <w:t>В последние годы проблема сохранения стала особенно актуальной. Одна из причин сложившейся ситуации – неосведомленность населения о том, что есть геодезические пункты и для чего они служат, а также недостаточное знание действующего законодательства должностными лицами, которые, не осознавая всей ответственности за последствия своих действий, принимают зачастую такие решения, которые приводят к уничтожению геодезических пунктов. Задача ведомства не только проинформировать население, но и научить будущее поколение, как правильно сохранять их и для чего это нужно делать</w:t>
      </w:r>
      <w:r>
        <w:rPr>
          <w:rFonts w:ascii="Times New Roman" w:hAnsi="Times New Roman" w:cs="Times New Roman"/>
          <w:sz w:val="28"/>
          <w:szCs w:val="28"/>
        </w:rPr>
        <w:t>», – комментирует ситуацию заместитель руководителя Управления Росреестра по Самарской области</w:t>
      </w:r>
      <w:r>
        <w:rPr>
          <w:rFonts w:ascii="Times New Roman" w:hAnsi="Times New Roman" w:cs="Times New Roman"/>
          <w:b/>
          <w:sz w:val="28"/>
          <w:szCs w:val="28"/>
        </w:rPr>
        <w:t xml:space="preserve"> Татьяна Омельченко</w:t>
      </w:r>
      <w:r>
        <w:rPr>
          <w:rFonts w:ascii="Times New Roman" w:hAnsi="Times New Roman" w:cs="Times New Roman"/>
          <w:sz w:val="28"/>
          <w:szCs w:val="28"/>
        </w:rPr>
        <w:t>.</w:t>
      </w:r>
    </w:p>
    <w:p>
      <w:pPr>
        <w:rPr>
          <w:rFonts w:ascii="Times New Roman" w:hAnsi="Times New Roman" w:cs="Times New Roman"/>
          <w:color w:val="0F0F0F"/>
          <w:sz w:val="28"/>
          <w:szCs w:val="28"/>
        </w:rPr>
      </w:pPr>
      <w:r>
        <w:rPr>
          <w:noProof/>
          <w:lang w:eastAsia="ru-RU"/>
        </w:rPr>
        <mc:AlternateContent>
          <mc:Choice Requires="wps">
            <w:drawing>
              <wp:anchor distT="0" distB="0" distL="114300" distR="114300" simplePos="0" relativeHeight="251659264" behindDoc="0" locked="0" layoutInCell="1" allowOverlap="1">
                <wp:simplePos x="0" y="0"/>
                <wp:positionH relativeFrom="column">
                  <wp:posOffset>-13335</wp:posOffset>
                </wp:positionH>
                <wp:positionV relativeFrom="paragraph">
                  <wp:posOffset>164465</wp:posOffset>
                </wp:positionV>
                <wp:extent cx="6105525" cy="0"/>
                <wp:effectExtent l="0" t="0" r="28575" b="1905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6105525" cy="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8A7844"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2.95pt" to="479.7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" strokecolor="#5b9bd5" strokeweight=".5pt">
                <v:stroke joinstyle="miter"/>
              </v:line>
            </w:pict>
          </mc:Fallback>
        </mc:AlternateContent>
      </w:r>
    </w:p>
    <w:p>
      <w:pPr>
        <w:rPr>
          <w:rFonts w:ascii="Times New Roman" w:hAnsi="Times New Roman" w:cs="Times New Roman"/>
          <w:color w:val="0F0F0F"/>
          <w:sz w:val="24"/>
          <w:szCs w:val="24"/>
        </w:rPr>
      </w:pPr>
      <w:r>
        <w:rPr>
          <w:rFonts w:ascii="Times New Roman" w:hAnsi="Times New Roman" w:cs="Times New Roman"/>
          <w:color w:val="0F0F0F"/>
          <w:sz w:val="24"/>
          <w:szCs w:val="24"/>
        </w:rPr>
        <w:t>Материал подготовлен</w:t>
      </w:r>
    </w:p>
    <w:p>
      <w:pPr>
        <w:rPr>
          <w:rFonts w:ascii="Times New Roman" w:hAnsi="Times New Roman" w:cs="Times New Roman"/>
          <w:color w:val="0F0F0F"/>
          <w:sz w:val="24"/>
          <w:szCs w:val="24"/>
        </w:rPr>
      </w:pPr>
      <w:r>
        <w:rPr>
          <w:rFonts w:ascii="Times New Roman" w:hAnsi="Times New Roman" w:cs="Times New Roman"/>
          <w:color w:val="0F0F0F"/>
          <w:sz w:val="24"/>
          <w:szCs w:val="24"/>
        </w:rPr>
        <w:t>Управлением Росреестра по Самарской области</w:t>
      </w:r>
    </w:p>
    <w:sectPr>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ED87B9-7BDD-4E98-9C6E-8A2F6D1B9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2712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Самсоненко Мария Михайловна</dc:creator>
  <cp:keywords/>
  <dc:description/>
  <cp:lastModifiedBy>Мельник Надежда Анатольевна</cp:lastModifiedBy>
  <cp:revision>2</cp:revision>
  <dcterms:created xsi:type="dcterms:W3CDTF">2023-05-23T09:01:00Z</dcterms:created>
  <dcterms:modified xsi:type="dcterms:W3CDTF">2023-05-23T09:01:00Z</dcterms:modified>
</cp:coreProperties>
</file>