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9390028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27.08</w:t>
      </w:r>
      <w:r>
        <w:rPr>
          <w:rFonts w:ascii="Times New Roman" w:hAnsi="Times New Roman" w:cs="Times New Roman"/>
          <w:b/>
          <w:sz w:val="26"/>
          <w:szCs w:val="26"/>
        </w:rPr>
        <w:t xml:space="preserve">.2025 г.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spacing w:line="276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Если госпошлина оплачена ошибочно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292c2f"/>
          <w:sz w:val="28"/>
          <w:szCs w:val="28"/>
          <w:highlight w:val="white"/>
        </w:rPr>
      </w:pP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В самарском Росреестре рассказали, что делать, если 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государственная пошлина за учетно-регистрационные действия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 была оплачена ошибочно.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292c2f"/>
          <w:sz w:val="28"/>
          <w:szCs w:val="28"/>
          <w:highlight w:val="white"/>
        </w:rPr>
      </w:pP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В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 такой ситуации госпошлину можно вернуть в течение 3 лет со дня ее оплаты. </w:t>
      </w:r>
      <w:r>
        <w:rPr>
          <w:rFonts w:ascii="Tinos" w:hAnsi="Tinos" w:eastAsia="Tinos" w:cs="Tinos"/>
          <w:b w:val="0"/>
          <w:bCs w:val="0"/>
          <w:i w:val="0"/>
          <w:iCs w:val="0"/>
          <w:color w:val="292c2f"/>
          <w:sz w:val="28"/>
          <w:szCs w:val="28"/>
          <w:highlight w:val="white"/>
        </w:rPr>
        <w:t xml:space="preserve">Подать заявление на возврат госпошлины можно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: 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</w:p>
    <w:p>
      <w:pPr>
        <w:pStyle w:val="621"/>
        <w:numPr>
          <w:ilvl w:val="0"/>
          <w:numId w:val="1"/>
        </w:numPr>
        <w:jc w:val="left"/>
        <w:spacing w:line="360" w:lineRule="auto"/>
        <w:rPr>
          <w:rFonts w:ascii="Tinos" w:hAnsi="Tinos" w:eastAsia="Tinos" w:cs="Tinos"/>
          <w:color w:val="292c2f"/>
          <w:sz w:val="28"/>
          <w:szCs w:val="28"/>
          <w:highlight w:val="white"/>
        </w:rPr>
      </w:pP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обратившись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 лично в офис Росреестра;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</w:p>
    <w:p>
      <w:pPr>
        <w:pStyle w:val="621"/>
        <w:numPr>
          <w:ilvl w:val="0"/>
          <w:numId w:val="1"/>
        </w:numPr>
        <w:jc w:val="left"/>
        <w:spacing w:line="360" w:lineRule="auto"/>
        <w:rPr>
          <w:rFonts w:ascii="Tinos" w:hAnsi="Tinos" w:eastAsia="Tinos" w:cs="Tinos"/>
          <w:color w:val="292c2f"/>
          <w:sz w:val="28"/>
          <w:szCs w:val="28"/>
          <w:highlight w:val="white"/>
        </w:rPr>
      </w:pP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 направив заявление почтовым отправлением в офис Управления Росреестра;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</w:p>
    <w:p>
      <w:pPr>
        <w:pStyle w:val="621"/>
        <w:numPr>
          <w:ilvl w:val="0"/>
          <w:numId w:val="1"/>
        </w:numPr>
        <w:jc w:val="left"/>
        <w:spacing w:line="360" w:lineRule="auto"/>
        <w:rPr>
          <w:rFonts w:ascii="Tinos" w:hAnsi="Tinos" w:eastAsia="Tinos" w:cs="Tinos"/>
          <w:b w:val="0"/>
          <w:bCs w:val="0"/>
          <w:i w:val="0"/>
          <w:iCs w:val="0"/>
          <w:color w:val="292c2f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через портал Росреестра.</w:t>
        <w:br/>
      </w:r>
      <w:r>
        <w:rPr>
          <w:rFonts w:ascii="Tinos" w:hAnsi="Tinos" w:eastAsia="Tinos" w:cs="Tinos"/>
          <w:b w:val="0"/>
          <w:bCs w:val="0"/>
          <w:i w:val="0"/>
          <w:iCs w:val="0"/>
          <w:color w:val="292c2f"/>
          <w:sz w:val="28"/>
          <w:szCs w:val="28"/>
          <w:highlight w:val="white"/>
        </w:rPr>
        <w:t xml:space="preserve">Госпош</w:t>
      </w:r>
      <w:r>
        <w:rPr>
          <w:rFonts w:ascii="Tinos" w:hAnsi="Tinos" w:eastAsia="Tinos" w:cs="Tinos"/>
          <w:b w:val="0"/>
          <w:bCs w:val="0"/>
          <w:i w:val="0"/>
          <w:iCs w:val="0"/>
          <w:color w:val="292c2f"/>
          <w:sz w:val="28"/>
          <w:szCs w:val="28"/>
          <w:highlight w:val="white"/>
        </w:rPr>
        <w:t xml:space="preserve">лина подлежит возвр</w:t>
      </w:r>
      <w:r>
        <w:rPr>
          <w:rFonts w:ascii="Tinos" w:hAnsi="Tinos" w:eastAsia="Tinos" w:cs="Tinos"/>
          <w:b w:val="0"/>
          <w:bCs w:val="0"/>
          <w:i w:val="0"/>
          <w:iCs w:val="0"/>
          <w:color w:val="292c2f"/>
          <w:sz w:val="28"/>
          <w:szCs w:val="28"/>
          <w:highlight w:val="white"/>
        </w:rPr>
        <w:t xml:space="preserve">ату </w:t>
      </w:r>
      <w:r>
        <w:rPr>
          <w:rFonts w:ascii="Tinos" w:hAnsi="Tinos" w:eastAsia="Tinos" w:cs="Tinos"/>
          <w:b w:val="0"/>
          <w:bCs w:val="0"/>
          <w:i w:val="0"/>
          <w:iCs w:val="0"/>
          <w:color w:val="292c2f"/>
          <w:sz w:val="28"/>
          <w:szCs w:val="28"/>
          <w:highlight w:val="white"/>
        </w:rPr>
        <w:t xml:space="preserve">в случае если:</w:t>
      </w:r>
      <w:r>
        <w:rPr>
          <w:rFonts w:ascii="Tinos" w:hAnsi="Tinos" w:eastAsia="Tinos" w:cs="Tinos"/>
          <w:b w:val="0"/>
          <w:bCs w:val="0"/>
          <w:i w:val="0"/>
          <w:iCs w:val="0"/>
          <w:color w:val="292c2f"/>
          <w:sz w:val="28"/>
          <w:szCs w:val="28"/>
          <w:highlight w:val="white"/>
        </w:rPr>
      </w:r>
      <w:r>
        <w:rPr>
          <w:rFonts w:ascii="Tinos" w:hAnsi="Tinos" w:eastAsia="Tinos" w:cs="Tinos"/>
          <w:b w:val="0"/>
          <w:bCs w:val="0"/>
          <w:i w:val="0"/>
          <w:iCs w:val="0"/>
          <w:color w:val="292c2f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b w:val="0"/>
          <w:bCs w:val="0"/>
          <w:i w:val="0"/>
          <w:iCs w:val="0"/>
          <w:color w:val="292c2f"/>
          <w:sz w:val="28"/>
          <w:szCs w:val="28"/>
          <w:highlight w:val="white"/>
          <w14:ligatures w14:val="none"/>
        </w:rPr>
      </w:r>
    </w:p>
    <w:p>
      <w:pPr>
        <w:pStyle w:val="621"/>
        <w:numPr>
          <w:ilvl w:val="0"/>
          <w:numId w:val="1"/>
        </w:numPr>
        <w:jc w:val="left"/>
        <w:spacing w:line="360" w:lineRule="auto"/>
        <w:rPr>
          <w:rFonts w:ascii="Tinos" w:hAnsi="Tinos" w:eastAsia="Tinos" w:cs="Tinos"/>
          <w:color w:val="292c2f"/>
          <w:sz w:val="28"/>
          <w:szCs w:val="28"/>
          <w:highlight w:val="white"/>
        </w:rPr>
      </w:pPr>
      <w:r>
        <w:rPr>
          <w:rFonts w:ascii="Tinos" w:hAnsi="Tinos" w:eastAsia="Tinos" w:cs="Tinos"/>
          <w:b/>
          <w:i/>
          <w:color w:val="292c2f"/>
          <w:sz w:val="28"/>
          <w:szCs w:val="28"/>
          <w:highlight w:val="white"/>
        </w:rPr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уплачена 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ошибочно;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</w:p>
    <w:p>
      <w:pPr>
        <w:pStyle w:val="621"/>
        <w:numPr>
          <w:ilvl w:val="0"/>
          <w:numId w:val="1"/>
        </w:numPr>
        <w:jc w:val="left"/>
        <w:spacing w:line="360" w:lineRule="auto"/>
        <w:rPr>
          <w:rFonts w:ascii="Tinos" w:hAnsi="Tinos" w:eastAsia="Tinos" w:cs="Tinos"/>
          <w:color w:val="292c2f"/>
          <w:sz w:val="28"/>
          <w:szCs w:val="28"/>
          <w:highlight w:val="white"/>
        </w:rPr>
      </w:pP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уплачена в большем размере, чем предусмотрено Налоговым кодексом;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</w:p>
    <w:p>
      <w:pPr>
        <w:pStyle w:val="621"/>
        <w:numPr>
          <w:ilvl w:val="0"/>
          <w:numId w:val="1"/>
        </w:numPr>
        <w:jc w:val="left"/>
        <w:spacing w:line="360" w:lineRule="auto"/>
        <w:rPr>
          <w:rFonts w:ascii="Tinos" w:hAnsi="Tinos" w:eastAsia="Tinos" w:cs="Tinos"/>
          <w:color w:val="292c2f"/>
          <w:sz w:val="28"/>
          <w:szCs w:val="28"/>
          <w:highlight w:val="white"/>
        </w:rPr>
      </w:pP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заявление о государственной регистрации возвращено 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Росреестром 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без рассмотрения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;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</w:p>
    <w:p>
      <w:pPr>
        <w:pStyle w:val="621"/>
        <w:numPr>
          <w:ilvl w:val="0"/>
          <w:numId w:val="1"/>
        </w:numPr>
        <w:jc w:val="both"/>
        <w:spacing w:line="360" w:lineRule="auto"/>
        <w:rPr>
          <w:rFonts w:ascii="Tinos" w:hAnsi="Tinos" w:eastAsia="Tinos" w:cs="Tinos"/>
          <w:color w:val="292c2f"/>
          <w:sz w:val="28"/>
          <w:szCs w:val="28"/>
          <w:highlight w:val="white"/>
        </w:rP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  <w:t xml:space="preserve">представлено заявление о прекращении учетно-регистрационных действий </w:t>
      </w:r>
      <w:r>
        <w:rPr>
          <w:rFonts w:ascii="Tinos" w:hAnsi="Tinos" w:eastAsia="Tinos" w:cs="Tinos"/>
          <w:i/>
          <w:iCs/>
          <w:color w:val="292c2f"/>
          <w:sz w:val="28"/>
          <w:szCs w:val="28"/>
          <w:highlight w:val="none"/>
        </w:rPr>
        <w:t xml:space="preserve">(в этом случае возврату подлежит 50% уплаченной госпошлины)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  <w:r/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white"/>
        </w:rPr>
      </w:pPr>
      <w:r>
        <w:rPr>
          <w:rFonts w:ascii="Tinos" w:hAnsi="Tinos" w:eastAsia="Tinos" w:cs="Tinos"/>
          <w:b w:val="0"/>
          <w:bCs w:val="0"/>
          <w:i w:val="0"/>
          <w:iCs w:val="0"/>
          <w:color w:val="292c2f"/>
          <w:sz w:val="28"/>
          <w:szCs w:val="28"/>
          <w:highlight w:val="white"/>
        </w:rPr>
        <w:t xml:space="preserve">За возвратом </w:t>
      </w:r>
      <w:r>
        <w:rPr>
          <w:rFonts w:ascii="Tinos" w:hAnsi="Tinos" w:eastAsia="Tinos" w:cs="Tinos"/>
          <w:b w:val="0"/>
          <w:bCs w:val="0"/>
          <w:i w:val="0"/>
          <w:iCs w:val="0"/>
          <w:color w:val="292c2f"/>
          <w:sz w:val="28"/>
          <w:szCs w:val="28"/>
          <w:highlight w:val="white"/>
        </w:rPr>
        <w:t xml:space="preserve">госпошлины может </w:t>
      </w:r>
      <w:r>
        <w:rPr>
          <w:rFonts w:ascii="Tinos" w:hAnsi="Tinos" w:eastAsia="Tinos" w:cs="Tinos"/>
          <w:b w:val="0"/>
          <w:bCs w:val="0"/>
          <w:i w:val="0"/>
          <w:iCs w:val="0"/>
          <w:color w:val="292c2f"/>
          <w:sz w:val="28"/>
          <w:szCs w:val="28"/>
          <w:highlight w:val="white"/>
        </w:rPr>
        <w:t xml:space="preserve">обратиться сам плательщик-</w:t>
      </w:r>
      <w:r>
        <w:rPr>
          <w:rFonts w:ascii="Tinos" w:hAnsi="Tinos" w:eastAsia="Tinos" w:cs="Tinos"/>
          <w:b w:val="0"/>
          <w:bCs w:val="0"/>
          <w:i w:val="0"/>
          <w:iCs w:val="0"/>
          <w:color w:val="292c2f"/>
          <w:sz w:val="28"/>
          <w:szCs w:val="28"/>
          <w:highlight w:val="white"/>
        </w:rPr>
        <w:t xml:space="preserve">заявитель</w:t>
      </w:r>
      <w:r>
        <w:rPr>
          <w:rFonts w:ascii="Tinos" w:hAnsi="Tinos" w:eastAsia="Tinos" w:cs="Tinos"/>
          <w:b w:val="0"/>
          <w:bCs w:val="0"/>
          <w:i w:val="0"/>
          <w:iCs w:val="0"/>
          <w:color w:val="292c2f"/>
          <w:sz w:val="28"/>
          <w:szCs w:val="28"/>
          <w:highlight w:val="white"/>
        </w:rPr>
        <w:t xml:space="preserve">, представитель по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 нотариальной доверенности </w:t>
      </w:r>
      <w:r>
        <w:rPr>
          <w:rFonts w:ascii="Tinos" w:hAnsi="Tinos" w:eastAsia="Tinos" w:cs="Tinos"/>
          <w:i/>
          <w:iCs/>
          <w:color w:val="292c2f"/>
          <w:sz w:val="28"/>
          <w:szCs w:val="28"/>
          <w:highlight w:val="white"/>
        </w:rPr>
        <w:t xml:space="preserve">(в этом случае возврат будет осуществлен на счет плательщика-заявителя)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;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 один из родителей несовершеннолетнего ребенка; опекун, при наличие соответствующих документов.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white"/>
        </w:rPr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whit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292c2f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white"/>
        </w:rPr>
        <w:t xml:space="preserve">Возвра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white"/>
        </w:rPr>
        <w:t xml:space="preserve">т госпошлины после подачи заявления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white"/>
        </w:rPr>
        <w:t xml:space="preserve"> осуществляется 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white"/>
        </w:rPr>
        <w:t xml:space="preserve">в течение 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white"/>
        </w:rPr>
        <w:t xml:space="preserve">одного месяца со дня подачи заявления на возврат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white"/>
        </w:rPr>
        <w:t xml:space="preserve">. 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white"/>
        </w:rPr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white"/>
        </w:rPr>
        <w:t xml:space="preserve">Возврат возможен только после окончательного решения по заявлению о государственной регистрации.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white"/>
        </w:rPr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white"/>
        </w:rPr>
        <w:t xml:space="preserve">Решение о возврате принимается Управлением Росреестра после подтверждения правомерности осуществления возврата.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white"/>
        </w:rPr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  <w:highlight w:val="whit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292c2f"/>
          <w:sz w:val="28"/>
          <w:szCs w:val="28"/>
          <w:highlight w:val="white"/>
        </w:rPr>
      </w:pP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Г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оспошлина не возвращается в случае: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</w:p>
    <w:p>
      <w:pPr>
        <w:ind w:left="0" w:right="0" w:firstLine="567"/>
        <w:jc w:val="both"/>
        <w:spacing w:line="360" w:lineRule="auto"/>
        <w:rPr>
          <w:rFonts w:ascii="Tinos" w:hAnsi="Tinos" w:eastAsia="Tinos" w:cs="Tinos"/>
          <w:color w:val="292c2f"/>
          <w:sz w:val="28"/>
          <w:szCs w:val="28"/>
          <w:highlight w:val="white"/>
        </w:rPr>
      </w:pP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– отказа в государственной регистрации; 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</w:p>
    <w:p>
      <w:pPr>
        <w:pStyle w:val="621"/>
        <w:numPr>
          <w:ilvl w:val="0"/>
          <w:numId w:val="2"/>
        </w:numPr>
        <w:ind w:right="0"/>
        <w:jc w:val="both"/>
        <w:spacing w:line="360" w:lineRule="auto"/>
        <w:rPr>
          <w:rFonts w:ascii="Tinos" w:hAnsi="Tinos" w:eastAsia="Tinos" w:cs="Tinos"/>
          <w:color w:val="292c2f"/>
          <w:sz w:val="28"/>
          <w:szCs w:val="28"/>
          <w:highlight w:val="white"/>
        </w:rPr>
      </w:pP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по истечении 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трех лет со дня ее уплаты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  <w:t xml:space="preserve">.</w:t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  <w:r>
        <w:rPr>
          <w:rFonts w:ascii="Tinos" w:hAnsi="Tinos" w:eastAsia="Tinos" w:cs="Tinos"/>
          <w:color w:val="292c2f"/>
          <w:sz w:val="28"/>
          <w:szCs w:val="28"/>
          <w:highlight w:val="white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3002777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4" cy="1841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0.05pt;height:1.4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Материал подготовлен Управлением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Росреестра по Самарской области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2025-08-26T12:29:08Z</dcterms:modified>
</cp:coreProperties>
</file>